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FE3AB" w14:textId="3B533C8A" w:rsidR="00E60817" w:rsidRPr="00651EDC" w:rsidRDefault="00E60817" w:rsidP="00EA1AB1">
      <w:pPr>
        <w:widowControl w:val="0"/>
        <w:adjustRightInd w:val="0"/>
        <w:snapToGrid w:val="0"/>
        <w:ind w:firstLineChars="0" w:firstLine="0"/>
        <w:jc w:val="center"/>
        <w:rPr>
          <w:rFonts w:cs="Times New Roman"/>
          <w:b/>
          <w:bCs/>
          <w:kern w:val="2"/>
          <w:sz w:val="24"/>
          <w:szCs w:val="24"/>
        </w:rPr>
      </w:pPr>
      <w:r w:rsidRPr="00651EDC">
        <w:rPr>
          <w:rFonts w:cs="Times New Roman"/>
          <w:b/>
          <w:bCs/>
          <w:kern w:val="2"/>
          <w:sz w:val="24"/>
          <w:szCs w:val="24"/>
        </w:rPr>
        <w:t xml:space="preserve">4207 </w:t>
      </w:r>
      <w:r w:rsidRPr="00651EDC">
        <w:rPr>
          <w:rFonts w:cs="Times New Roman" w:hint="eastAsia"/>
          <w:b/>
          <w:bCs/>
          <w:kern w:val="2"/>
          <w:sz w:val="24"/>
          <w:szCs w:val="24"/>
        </w:rPr>
        <w:t>药包材溶剂残留量</w:t>
      </w:r>
      <w:r w:rsidRPr="00651EDC">
        <w:rPr>
          <w:rFonts w:cs="Times New Roman"/>
          <w:b/>
          <w:bCs/>
          <w:kern w:val="2"/>
          <w:sz w:val="24"/>
          <w:szCs w:val="24"/>
        </w:rPr>
        <w:t>测定法</w:t>
      </w:r>
    </w:p>
    <w:p w14:paraId="164DBE89"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本法适用于药品包装材料中</w:t>
      </w:r>
      <w:r w:rsidRPr="00A6179F">
        <w:rPr>
          <w:rFonts w:cs="Times New Roman" w:hint="eastAsia"/>
          <w:szCs w:val="21"/>
        </w:rPr>
        <w:t>溶剂残留量</w:t>
      </w:r>
      <w:r w:rsidRPr="00A6179F">
        <w:rPr>
          <w:rFonts w:cs="Times New Roman"/>
          <w:szCs w:val="21"/>
        </w:rPr>
        <w:t>的测定。药包材中的残留溶剂系指药包材原辅材料和生产过程中使用的，但在药包材生产工艺过程中未能完全除去的有机挥发物，如甲醇、乙醇、异丙醇、正丁醇、丙酮、丁酮、乙酸乙酯、乙酸丙酯、乙酸异丁酯、乙酸丁酯、</w:t>
      </w:r>
      <w:bookmarkStart w:id="0" w:name="_Hlk34316095"/>
      <w:r w:rsidRPr="00A6179F">
        <w:rPr>
          <w:rFonts w:cs="Times New Roman"/>
          <w:szCs w:val="21"/>
        </w:rPr>
        <w:t>苯、甲苯、乙苯、对二甲苯、邻二甲苯、间二甲苯</w:t>
      </w:r>
      <w:bookmarkEnd w:id="0"/>
      <w:r w:rsidRPr="00A6179F">
        <w:rPr>
          <w:rFonts w:cs="Times New Roman"/>
          <w:szCs w:val="21"/>
        </w:rPr>
        <w:t>等。</w:t>
      </w:r>
    </w:p>
    <w:p w14:paraId="3F935613"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本法以气</w:t>
      </w:r>
      <w:r w:rsidRPr="00A6179F">
        <w:rPr>
          <w:rFonts w:cs="Times New Roman"/>
          <w:szCs w:val="21"/>
        </w:rPr>
        <w:t>-</w:t>
      </w:r>
      <w:r w:rsidRPr="00A6179F">
        <w:rPr>
          <w:rFonts w:cs="Times New Roman"/>
          <w:szCs w:val="21"/>
        </w:rPr>
        <w:t>固平衡为基础，取一定面积的试样置于密封容器内，在一定的温度和时间条件下，试样中残留的有机溶剂受热挥发，达到平衡后，取顶空气体定量注入色谱仪中分析，以保留时间定性，峰面积定量。需要检测的溶剂种类，应根据产品配方工艺特点确定，不仅局限本标准中举例的溶剂。</w:t>
      </w:r>
    </w:p>
    <w:p w14:paraId="1259FB9C" w14:textId="102644CE" w:rsidR="00E60817" w:rsidRPr="00A6179F" w:rsidRDefault="00E60817" w:rsidP="00EA1AB1">
      <w:pPr>
        <w:adjustRightInd w:val="0"/>
        <w:snapToGrid w:val="0"/>
        <w:ind w:firstLine="420"/>
        <w:jc w:val="both"/>
        <w:rPr>
          <w:rFonts w:cs="Times New Roman"/>
          <w:szCs w:val="21"/>
        </w:rPr>
      </w:pPr>
      <w:r w:rsidRPr="00A6179F">
        <w:rPr>
          <w:rFonts w:cs="Times New Roman"/>
          <w:szCs w:val="21"/>
        </w:rPr>
        <w:t>本法</w:t>
      </w:r>
      <w:r w:rsidR="001540F8" w:rsidRPr="00A6179F">
        <w:rPr>
          <w:rFonts w:cs="Times New Roman" w:hint="eastAsia"/>
          <w:szCs w:val="21"/>
        </w:rPr>
        <w:t>操作</w:t>
      </w:r>
      <w:r w:rsidRPr="00A6179F">
        <w:rPr>
          <w:rFonts w:cs="Times New Roman"/>
          <w:szCs w:val="21"/>
        </w:rPr>
        <w:t>照残留溶剂测定法（通则</w:t>
      </w:r>
      <w:r w:rsidRPr="00A6179F">
        <w:rPr>
          <w:rFonts w:cs="Times New Roman"/>
          <w:szCs w:val="21"/>
        </w:rPr>
        <w:t>0861</w:t>
      </w:r>
      <w:r w:rsidRPr="00A6179F">
        <w:rPr>
          <w:rFonts w:cs="Times New Roman"/>
          <w:szCs w:val="21"/>
        </w:rPr>
        <w:t>）测定，残留溶剂的限度应符合各品</w:t>
      </w:r>
      <w:r w:rsidR="001540F8" w:rsidRPr="00A6179F">
        <w:rPr>
          <w:rFonts w:cs="Times New Roman" w:hint="eastAsia"/>
          <w:szCs w:val="21"/>
        </w:rPr>
        <w:t>类通则</w:t>
      </w:r>
      <w:r w:rsidRPr="00A6179F">
        <w:rPr>
          <w:rFonts w:cs="Times New Roman"/>
          <w:szCs w:val="21"/>
        </w:rPr>
        <w:t>项下的要求，其中苯及苯类每个溶剂的方法检出限应不得高于</w:t>
      </w:r>
      <w:r w:rsidRPr="00A6179F">
        <w:rPr>
          <w:rFonts w:cs="Times New Roman"/>
          <w:szCs w:val="21"/>
        </w:rPr>
        <w:t>0.01mg/m</w:t>
      </w:r>
      <w:r w:rsidRPr="00A6179F">
        <w:rPr>
          <w:rFonts w:cs="Times New Roman"/>
          <w:szCs w:val="21"/>
          <w:vertAlign w:val="superscript"/>
        </w:rPr>
        <w:t>2</w:t>
      </w:r>
      <w:r w:rsidRPr="00A6179F">
        <w:rPr>
          <w:rFonts w:cs="Times New Roman"/>
          <w:szCs w:val="21"/>
        </w:rPr>
        <w:t>，</w:t>
      </w:r>
      <w:r w:rsidR="00ED0EA8" w:rsidRPr="00A6179F">
        <w:rPr>
          <w:rFonts w:cs="Times New Roman" w:hint="eastAsia"/>
          <w:color w:val="FF0000"/>
          <w:szCs w:val="21"/>
        </w:rPr>
        <w:t>判定结果时</w:t>
      </w:r>
      <w:r w:rsidR="00AC29B5" w:rsidRPr="00A6179F">
        <w:rPr>
          <w:rFonts w:cs="Times New Roman" w:hint="eastAsia"/>
          <w:color w:val="FF0000"/>
          <w:szCs w:val="21"/>
        </w:rPr>
        <w:t>，苯及苯类残留量小于</w:t>
      </w:r>
      <w:r w:rsidR="00ED0EA8" w:rsidRPr="00A6179F">
        <w:rPr>
          <w:rFonts w:cs="Times New Roman" w:hint="eastAsia"/>
          <w:color w:val="FF0000"/>
          <w:szCs w:val="21"/>
        </w:rPr>
        <w:t>0.01mg/m</w:t>
      </w:r>
      <w:r w:rsidR="00ED0EA8" w:rsidRPr="00A6179F">
        <w:rPr>
          <w:rFonts w:cs="Times New Roman"/>
          <w:color w:val="FF0000"/>
          <w:szCs w:val="21"/>
          <w:vertAlign w:val="superscript"/>
        </w:rPr>
        <w:t>2</w:t>
      </w:r>
      <w:r w:rsidR="00AC29B5" w:rsidRPr="00A6179F">
        <w:rPr>
          <w:rFonts w:cs="Times New Roman" w:hint="eastAsia"/>
          <w:color w:val="FF0000"/>
          <w:szCs w:val="21"/>
        </w:rPr>
        <w:t>时视为未检出</w:t>
      </w:r>
      <w:r w:rsidRPr="00A6179F">
        <w:rPr>
          <w:rFonts w:cs="Times New Roman"/>
          <w:szCs w:val="21"/>
        </w:rPr>
        <w:t>。</w:t>
      </w:r>
    </w:p>
    <w:p w14:paraId="211647F2" w14:textId="77777777" w:rsidR="00E60817" w:rsidRPr="00A6179F" w:rsidRDefault="00E60817" w:rsidP="00EA1AB1">
      <w:pPr>
        <w:adjustRightInd w:val="0"/>
        <w:snapToGrid w:val="0"/>
        <w:ind w:firstLine="422"/>
        <w:jc w:val="both"/>
        <w:rPr>
          <w:rFonts w:cs="Times New Roman"/>
          <w:b/>
          <w:szCs w:val="21"/>
        </w:rPr>
      </w:pPr>
      <w:r w:rsidRPr="00A6179F">
        <w:rPr>
          <w:rFonts w:cs="Times New Roman"/>
          <w:b/>
          <w:szCs w:val="21"/>
        </w:rPr>
        <w:t>色谱柱</w:t>
      </w:r>
    </w:p>
    <w:p w14:paraId="6ED2D232" w14:textId="6B5514AC" w:rsidR="00E60817" w:rsidRPr="00A6179F" w:rsidRDefault="00E60817" w:rsidP="00EA1AB1">
      <w:pPr>
        <w:adjustRightInd w:val="0"/>
        <w:snapToGrid w:val="0"/>
        <w:ind w:firstLine="420"/>
        <w:jc w:val="both"/>
        <w:rPr>
          <w:rFonts w:cs="Times New Roman"/>
          <w:szCs w:val="21"/>
        </w:rPr>
      </w:pPr>
      <w:r w:rsidRPr="00A6179F">
        <w:rPr>
          <w:rFonts w:cs="Times New Roman"/>
          <w:szCs w:val="21"/>
        </w:rPr>
        <w:t>色谱柱可选用能满足待测溶剂分离要求的毛细管柱或其他适宜色谱柱</w:t>
      </w:r>
      <w:r w:rsidRPr="00A6179F">
        <w:rPr>
          <w:rFonts w:cs="Times New Roman" w:hint="eastAsia"/>
          <w:szCs w:val="21"/>
        </w:rPr>
        <w:t>，均</w:t>
      </w:r>
      <w:r w:rsidRPr="00A6179F">
        <w:rPr>
          <w:rFonts w:cs="Times New Roman"/>
          <w:color w:val="FF0000"/>
          <w:szCs w:val="21"/>
        </w:rPr>
        <w:t>需</w:t>
      </w:r>
      <w:r w:rsidR="00E85BD6" w:rsidRPr="00A6179F">
        <w:rPr>
          <w:rFonts w:cs="Times New Roman" w:hint="eastAsia"/>
          <w:color w:val="FF0000"/>
          <w:szCs w:val="21"/>
        </w:rPr>
        <w:t>要按照分析方法</w:t>
      </w:r>
      <w:r w:rsidR="00243FFC" w:rsidRPr="00A6179F">
        <w:rPr>
          <w:rFonts w:cs="Times New Roman" w:hint="eastAsia"/>
          <w:color w:val="FF0000"/>
          <w:szCs w:val="21"/>
        </w:rPr>
        <w:t>确认</w:t>
      </w:r>
      <w:r w:rsidR="00E85BD6" w:rsidRPr="00A6179F">
        <w:rPr>
          <w:rFonts w:cs="Times New Roman" w:hint="eastAsia"/>
          <w:color w:val="FF0000"/>
          <w:szCs w:val="21"/>
        </w:rPr>
        <w:t>指导原则（通则</w:t>
      </w:r>
      <w:r w:rsidR="00243FFC" w:rsidRPr="00A6179F">
        <w:rPr>
          <w:rFonts w:cs="Times New Roman" w:hint="eastAsia"/>
          <w:color w:val="FF0000"/>
          <w:szCs w:val="21"/>
        </w:rPr>
        <w:t>9099</w:t>
      </w:r>
      <w:r w:rsidR="00E85BD6" w:rsidRPr="00A6179F">
        <w:rPr>
          <w:rFonts w:cs="Times New Roman" w:hint="eastAsia"/>
          <w:color w:val="FF0000"/>
          <w:szCs w:val="21"/>
        </w:rPr>
        <w:t>）的要求进行方法学</w:t>
      </w:r>
      <w:r w:rsidR="00243FFC" w:rsidRPr="00A6179F">
        <w:rPr>
          <w:rFonts w:cs="Times New Roman" w:hint="eastAsia"/>
          <w:color w:val="FF0000"/>
          <w:szCs w:val="21"/>
        </w:rPr>
        <w:t>确认</w:t>
      </w:r>
      <w:r w:rsidR="00E85BD6" w:rsidRPr="00A6179F">
        <w:rPr>
          <w:rFonts w:cs="Times New Roman" w:hint="eastAsia"/>
          <w:color w:val="FF0000"/>
          <w:szCs w:val="21"/>
        </w:rPr>
        <w:t>并符合系统适用性实验的要求后方可使用</w:t>
      </w:r>
      <w:r w:rsidRPr="00A6179F">
        <w:rPr>
          <w:rFonts w:cs="Times New Roman"/>
          <w:szCs w:val="21"/>
        </w:rPr>
        <w:t>。</w:t>
      </w:r>
      <w:r w:rsidRPr="00A6179F">
        <w:rPr>
          <w:rFonts w:cs="Times New Roman" w:hint="eastAsia"/>
          <w:szCs w:val="21"/>
        </w:rPr>
        <w:t>常用</w:t>
      </w:r>
      <w:r w:rsidRPr="00A6179F">
        <w:rPr>
          <w:rFonts w:cs="Times New Roman"/>
          <w:szCs w:val="21"/>
        </w:rPr>
        <w:t>色谱柱</w:t>
      </w:r>
      <w:r w:rsidRPr="00A6179F">
        <w:rPr>
          <w:rFonts w:cs="Times New Roman" w:hint="eastAsia"/>
          <w:szCs w:val="21"/>
        </w:rPr>
        <w:t>包括</w:t>
      </w:r>
      <w:r w:rsidRPr="00A6179F">
        <w:rPr>
          <w:rFonts w:cs="Times New Roman"/>
          <w:szCs w:val="21"/>
        </w:rPr>
        <w:t>非极性色谱柱：</w:t>
      </w:r>
      <w:r w:rsidRPr="00A6179F">
        <w:rPr>
          <w:rFonts w:cs="Times New Roman"/>
          <w:szCs w:val="21"/>
        </w:rPr>
        <w:t>100%</w:t>
      </w:r>
      <w:r w:rsidRPr="00A6179F">
        <w:rPr>
          <w:rFonts w:cs="Times New Roman"/>
          <w:szCs w:val="21"/>
        </w:rPr>
        <w:t>二甲基聚硅氧烷</w:t>
      </w:r>
      <w:r w:rsidRPr="00A6179F">
        <w:rPr>
          <w:rFonts w:cs="Times New Roman" w:hint="eastAsia"/>
          <w:szCs w:val="21"/>
        </w:rPr>
        <w:t>、</w:t>
      </w:r>
      <w:r w:rsidRPr="00A6179F">
        <w:rPr>
          <w:rFonts w:cs="Times New Roman"/>
          <w:szCs w:val="21"/>
        </w:rPr>
        <w:t>极性色谱柱：聚乙二醇</w:t>
      </w:r>
      <w:r w:rsidRPr="00A6179F">
        <w:rPr>
          <w:rFonts w:cs="Times New Roman"/>
          <w:szCs w:val="21"/>
        </w:rPr>
        <w:t>PEG20M</w:t>
      </w:r>
      <w:r w:rsidRPr="00A6179F">
        <w:rPr>
          <w:rFonts w:cs="Times New Roman" w:hint="eastAsia"/>
          <w:szCs w:val="21"/>
        </w:rPr>
        <w:t>、</w:t>
      </w:r>
      <w:r w:rsidRPr="00A6179F">
        <w:rPr>
          <w:rFonts w:cs="Times New Roman"/>
          <w:szCs w:val="21"/>
        </w:rPr>
        <w:t>中极性色谱柱：</w:t>
      </w:r>
      <w:r w:rsidRPr="00A6179F">
        <w:rPr>
          <w:rFonts w:cs="Times New Roman"/>
          <w:szCs w:val="21"/>
        </w:rPr>
        <w:t>6%</w:t>
      </w:r>
      <w:r w:rsidRPr="00A6179F">
        <w:rPr>
          <w:rFonts w:cs="Times New Roman"/>
          <w:szCs w:val="21"/>
        </w:rPr>
        <w:t>氰丙基苯基</w:t>
      </w:r>
      <w:r w:rsidRPr="00A6179F">
        <w:rPr>
          <w:rFonts w:cs="Times New Roman"/>
          <w:szCs w:val="21"/>
        </w:rPr>
        <w:t>-94%</w:t>
      </w:r>
      <w:r w:rsidRPr="00A6179F">
        <w:rPr>
          <w:rFonts w:cs="Times New Roman"/>
          <w:szCs w:val="21"/>
        </w:rPr>
        <w:t>二甲基硅氧烷</w:t>
      </w:r>
      <w:r w:rsidRPr="00A6179F">
        <w:rPr>
          <w:rFonts w:cs="Times New Roman" w:hint="eastAsia"/>
          <w:szCs w:val="21"/>
        </w:rPr>
        <w:t>、</w:t>
      </w:r>
      <w:r w:rsidRPr="00A6179F">
        <w:rPr>
          <w:rFonts w:cs="Times New Roman"/>
          <w:szCs w:val="21"/>
        </w:rPr>
        <w:t>弱极性色谱柱：</w:t>
      </w:r>
      <w:r w:rsidRPr="00A6179F">
        <w:rPr>
          <w:rFonts w:cs="Times New Roman"/>
          <w:szCs w:val="21"/>
        </w:rPr>
        <w:t>5%</w:t>
      </w:r>
      <w:r w:rsidRPr="00A6179F">
        <w:rPr>
          <w:rFonts w:cs="Times New Roman"/>
          <w:szCs w:val="21"/>
        </w:rPr>
        <w:t>苯基</w:t>
      </w:r>
      <w:r w:rsidRPr="00A6179F">
        <w:rPr>
          <w:rFonts w:cs="Times New Roman"/>
          <w:szCs w:val="21"/>
        </w:rPr>
        <w:t>-95%</w:t>
      </w:r>
      <w:r w:rsidRPr="00A6179F">
        <w:rPr>
          <w:rFonts w:cs="Times New Roman"/>
          <w:szCs w:val="21"/>
        </w:rPr>
        <w:t>甲基硅氧烷。</w:t>
      </w:r>
    </w:p>
    <w:p w14:paraId="28D6CCB7" w14:textId="77777777" w:rsidR="00E60817" w:rsidRPr="00A6179F" w:rsidRDefault="00E60817" w:rsidP="00EA1AB1">
      <w:pPr>
        <w:adjustRightInd w:val="0"/>
        <w:snapToGrid w:val="0"/>
        <w:ind w:firstLine="422"/>
        <w:jc w:val="both"/>
        <w:rPr>
          <w:rFonts w:cs="Times New Roman"/>
          <w:b/>
          <w:szCs w:val="21"/>
        </w:rPr>
      </w:pPr>
      <w:r w:rsidRPr="00A6179F">
        <w:rPr>
          <w:rFonts w:cs="Times New Roman"/>
          <w:b/>
          <w:szCs w:val="21"/>
        </w:rPr>
        <w:t>系统适用性试验</w:t>
      </w:r>
    </w:p>
    <w:p w14:paraId="53784865"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用待测物的色谱峰计算，毛细管色谱柱的理论塔板数一般不低于</w:t>
      </w:r>
      <w:r w:rsidRPr="00A6179F">
        <w:rPr>
          <w:rFonts w:cs="Times New Roman"/>
          <w:szCs w:val="21"/>
        </w:rPr>
        <w:t>5000</w:t>
      </w:r>
      <w:r w:rsidRPr="00A6179F">
        <w:rPr>
          <w:rFonts w:cs="Times New Roman"/>
          <w:szCs w:val="21"/>
        </w:rPr>
        <w:t>。</w:t>
      </w:r>
    </w:p>
    <w:p w14:paraId="487E2235"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色谱图中，待测物色谱峰与其相邻色谱峰的分离度应大于</w:t>
      </w:r>
      <w:r w:rsidRPr="00A6179F">
        <w:rPr>
          <w:rFonts w:cs="Times New Roman"/>
          <w:szCs w:val="21"/>
        </w:rPr>
        <w:t>1.5</w:t>
      </w:r>
      <w:r w:rsidRPr="00A6179F">
        <w:rPr>
          <w:rFonts w:cs="Times New Roman"/>
          <w:szCs w:val="21"/>
        </w:rPr>
        <w:t>。</w:t>
      </w:r>
    </w:p>
    <w:p w14:paraId="29F32B17" w14:textId="77777777" w:rsidR="00E60817" w:rsidRPr="00A6179F" w:rsidRDefault="00E60817" w:rsidP="00EA1AB1">
      <w:pPr>
        <w:adjustRightInd w:val="0"/>
        <w:snapToGrid w:val="0"/>
        <w:ind w:firstLine="422"/>
        <w:jc w:val="both"/>
        <w:rPr>
          <w:rFonts w:cs="Times New Roman"/>
          <w:b/>
          <w:szCs w:val="21"/>
        </w:rPr>
      </w:pPr>
      <w:r w:rsidRPr="00A6179F">
        <w:rPr>
          <w:rFonts w:cs="Times New Roman"/>
          <w:b/>
          <w:szCs w:val="21"/>
        </w:rPr>
        <w:t>供试品的制备</w:t>
      </w:r>
    </w:p>
    <w:p w14:paraId="70C8D10B"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取内表面为</w:t>
      </w:r>
      <w:r w:rsidRPr="00A6179F">
        <w:rPr>
          <w:rFonts w:cs="Times New Roman"/>
          <w:szCs w:val="21"/>
        </w:rPr>
        <w:t>200cm</w:t>
      </w:r>
      <w:r w:rsidRPr="00A6179F">
        <w:rPr>
          <w:rFonts w:cs="Times New Roman"/>
          <w:szCs w:val="21"/>
          <w:vertAlign w:val="superscript"/>
        </w:rPr>
        <w:t>2</w:t>
      </w:r>
      <w:r w:rsidRPr="00A6179F">
        <w:rPr>
          <w:rFonts w:cs="Times New Roman"/>
          <w:szCs w:val="21"/>
        </w:rPr>
        <w:t>的</w:t>
      </w:r>
      <w:r w:rsidRPr="00A6179F">
        <w:rPr>
          <w:rFonts w:cs="Times New Roman" w:hint="eastAsia"/>
          <w:szCs w:val="21"/>
        </w:rPr>
        <w:t>试样：</w:t>
      </w:r>
      <w:r w:rsidRPr="00A6179F">
        <w:rPr>
          <w:rFonts w:cs="Times New Roman"/>
          <w:szCs w:val="21"/>
        </w:rPr>
        <w:t>剪成</w:t>
      </w:r>
      <w:r w:rsidRPr="00A6179F">
        <w:rPr>
          <w:rFonts w:cs="Times New Roman"/>
          <w:szCs w:val="21"/>
        </w:rPr>
        <w:t>1cm×3cm</w:t>
      </w:r>
      <w:r w:rsidRPr="00A6179F">
        <w:rPr>
          <w:rFonts w:cs="Times New Roman"/>
          <w:szCs w:val="21"/>
        </w:rPr>
        <w:t>大小，置顶空瓶中，压盖，密封，平行试验</w:t>
      </w:r>
      <w:r w:rsidRPr="00A6179F">
        <w:rPr>
          <w:rFonts w:cs="Times New Roman"/>
          <w:szCs w:val="21"/>
        </w:rPr>
        <w:t>2</w:t>
      </w:r>
      <w:r w:rsidRPr="00A6179F">
        <w:rPr>
          <w:rFonts w:cs="Times New Roman"/>
          <w:szCs w:val="21"/>
        </w:rPr>
        <w:t>份</w:t>
      </w:r>
      <w:r w:rsidRPr="00A6179F">
        <w:rPr>
          <w:rFonts w:cs="Times New Roman" w:hint="eastAsia"/>
          <w:szCs w:val="21"/>
        </w:rPr>
        <w:t>，</w:t>
      </w:r>
      <w:r w:rsidRPr="00A6179F">
        <w:rPr>
          <w:rFonts w:cs="Times New Roman"/>
          <w:szCs w:val="21"/>
        </w:rPr>
        <w:t>或按照企业标准或质量协议</w:t>
      </w:r>
      <w:r w:rsidRPr="00A6179F">
        <w:rPr>
          <w:rFonts w:cs="Times New Roman" w:hint="eastAsia"/>
          <w:szCs w:val="21"/>
        </w:rPr>
        <w:t>中</w:t>
      </w:r>
      <w:r w:rsidRPr="00A6179F">
        <w:rPr>
          <w:rFonts w:cs="Times New Roman"/>
          <w:szCs w:val="21"/>
        </w:rPr>
        <w:t>规定的方式制备。</w:t>
      </w:r>
    </w:p>
    <w:p w14:paraId="63087BF8"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固体药用纸袋装硅胶干燥剂：取本品适量，除去干燥剂，取纸袋同法操作。</w:t>
      </w:r>
    </w:p>
    <w:p w14:paraId="5788C55D" w14:textId="77777777" w:rsidR="00E60817" w:rsidRPr="00A6179F" w:rsidRDefault="00E60817" w:rsidP="00EA1AB1">
      <w:pPr>
        <w:adjustRightInd w:val="0"/>
        <w:snapToGrid w:val="0"/>
        <w:ind w:firstLine="422"/>
        <w:jc w:val="both"/>
        <w:rPr>
          <w:rFonts w:cs="Times New Roman"/>
          <w:b/>
          <w:szCs w:val="21"/>
        </w:rPr>
      </w:pPr>
      <w:r w:rsidRPr="00A6179F">
        <w:rPr>
          <w:rFonts w:cs="Times New Roman"/>
          <w:b/>
          <w:szCs w:val="21"/>
        </w:rPr>
        <w:t>对照品溶液的制备</w:t>
      </w:r>
    </w:p>
    <w:p w14:paraId="35086CAF"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分别取供试品中含有的有机溶剂适量，加溶剂（该溶剂应不干扰所有组分的测定，推荐使用</w:t>
      </w:r>
      <w:r w:rsidRPr="00A6179F">
        <w:rPr>
          <w:rFonts w:cs="Times New Roman"/>
          <w:szCs w:val="21"/>
        </w:rPr>
        <w:t>N,N-</w:t>
      </w:r>
      <w:r w:rsidRPr="00A6179F">
        <w:rPr>
          <w:rFonts w:cs="Times New Roman"/>
          <w:szCs w:val="21"/>
        </w:rPr>
        <w:t>二甲基甲酰胺或正己烷）稀释成一定浓度。</w:t>
      </w:r>
    </w:p>
    <w:p w14:paraId="1F3E3EA2" w14:textId="52DC161E" w:rsidR="00E60817" w:rsidRPr="00A6179F" w:rsidRDefault="00E60817" w:rsidP="00EA1AB1">
      <w:pPr>
        <w:adjustRightInd w:val="0"/>
        <w:snapToGrid w:val="0"/>
        <w:ind w:firstLine="420"/>
        <w:jc w:val="both"/>
        <w:rPr>
          <w:rFonts w:cs="Times New Roman"/>
          <w:szCs w:val="21"/>
        </w:rPr>
      </w:pPr>
      <w:r w:rsidRPr="00A6179F">
        <w:rPr>
          <w:rFonts w:cs="Times New Roman"/>
          <w:szCs w:val="21"/>
        </w:rPr>
        <w:t>第一法中加至顶空瓶中的各对照品组分的质量应与供试品中残留溶剂的质量相近</w:t>
      </w:r>
      <w:r w:rsidR="00E85BD6" w:rsidRPr="00A6179F">
        <w:rPr>
          <w:rFonts w:cs="Times New Roman" w:hint="eastAsia"/>
          <w:color w:val="FF0000"/>
          <w:szCs w:val="21"/>
        </w:rPr>
        <w:t>（对照</w:t>
      </w:r>
      <w:r w:rsidR="0012752A" w:rsidRPr="00A6179F">
        <w:rPr>
          <w:rFonts w:cs="Times New Roman" w:hint="eastAsia"/>
          <w:color w:val="FF0000"/>
          <w:szCs w:val="21"/>
        </w:rPr>
        <w:t>品</w:t>
      </w:r>
      <w:r w:rsidR="00E85BD6" w:rsidRPr="00A6179F">
        <w:rPr>
          <w:rFonts w:cs="Times New Roman" w:hint="eastAsia"/>
          <w:color w:val="FF0000"/>
          <w:szCs w:val="21"/>
        </w:rPr>
        <w:t>与供试品中对应的色谱峰面积比值不超过</w:t>
      </w:r>
      <w:r w:rsidR="00E85BD6" w:rsidRPr="00A6179F">
        <w:rPr>
          <w:rFonts w:cs="Times New Roman" w:hint="eastAsia"/>
          <w:color w:val="FF0000"/>
          <w:szCs w:val="21"/>
        </w:rPr>
        <w:t>2</w:t>
      </w:r>
      <w:r w:rsidR="00E85BD6" w:rsidRPr="00A6179F">
        <w:rPr>
          <w:rFonts w:cs="Times New Roman" w:hint="eastAsia"/>
          <w:color w:val="FF0000"/>
          <w:szCs w:val="21"/>
        </w:rPr>
        <w:t>倍）</w:t>
      </w:r>
      <w:r w:rsidRPr="00A6179F">
        <w:rPr>
          <w:rFonts w:cs="Times New Roman"/>
          <w:szCs w:val="21"/>
        </w:rPr>
        <w:t>；</w:t>
      </w:r>
    </w:p>
    <w:p w14:paraId="31F58426"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第二法中逐级稀释成不少于五个浓度的对照品溶液系列，加至顶空瓶中的各对照品组分的质量应包含供试品中残留溶剂的质量；</w:t>
      </w:r>
    </w:p>
    <w:p w14:paraId="32DB8198"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第三法中苯及苯类溶剂的对照品溶液浓度应与第一法或第二法中的苯及苯类溶剂检出限对应的浓度一致。</w:t>
      </w:r>
    </w:p>
    <w:p w14:paraId="2A076B41"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lastRenderedPageBreak/>
        <w:t>对照品溶液用微量进样器精密量取</w:t>
      </w:r>
      <w:r w:rsidRPr="00A6179F">
        <w:rPr>
          <w:rFonts w:cs="Times New Roman"/>
          <w:szCs w:val="21"/>
        </w:rPr>
        <w:t>20</w:t>
      </w:r>
      <w:r w:rsidRPr="00A6179F">
        <w:rPr>
          <w:rFonts w:cs="Times New Roman"/>
          <w:i/>
          <w:iCs/>
          <w:szCs w:val="21"/>
        </w:rPr>
        <w:t>μ</w:t>
      </w:r>
      <w:r w:rsidRPr="00A6179F">
        <w:rPr>
          <w:rFonts w:cs="Times New Roman"/>
          <w:szCs w:val="21"/>
        </w:rPr>
        <w:t>l</w:t>
      </w:r>
      <w:r w:rsidRPr="00A6179F">
        <w:rPr>
          <w:rFonts w:cs="Times New Roman"/>
          <w:szCs w:val="21"/>
        </w:rPr>
        <w:t>，注入顶空瓶中迅速压盖密封。</w:t>
      </w:r>
    </w:p>
    <w:p w14:paraId="79AA5794" w14:textId="77777777" w:rsidR="00E60817" w:rsidRPr="00A6179F" w:rsidRDefault="00E60817" w:rsidP="00EA1AB1">
      <w:pPr>
        <w:adjustRightInd w:val="0"/>
        <w:snapToGrid w:val="0"/>
        <w:ind w:firstLine="422"/>
        <w:jc w:val="both"/>
        <w:rPr>
          <w:rFonts w:cs="Times New Roman"/>
          <w:b/>
          <w:szCs w:val="21"/>
        </w:rPr>
      </w:pPr>
      <w:r w:rsidRPr="00A6179F">
        <w:rPr>
          <w:rFonts w:cs="Times New Roman"/>
          <w:b/>
          <w:szCs w:val="21"/>
        </w:rPr>
        <w:t>测定法</w:t>
      </w:r>
    </w:p>
    <w:p w14:paraId="16EEC719"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第一法</w:t>
      </w:r>
      <w:r w:rsidRPr="00A6179F">
        <w:rPr>
          <w:rFonts w:cs="Times New Roman"/>
          <w:szCs w:val="21"/>
        </w:rPr>
        <w:tab/>
      </w:r>
      <w:r w:rsidRPr="00A6179F">
        <w:rPr>
          <w:rFonts w:cs="Times New Roman"/>
          <w:szCs w:val="21"/>
        </w:rPr>
        <w:t>外标法</w:t>
      </w:r>
    </w:p>
    <w:p w14:paraId="6158C726" w14:textId="4A6C82EA" w:rsidR="00E60817" w:rsidRPr="00A6179F" w:rsidRDefault="00E60817" w:rsidP="00EA1AB1">
      <w:pPr>
        <w:adjustRightInd w:val="0"/>
        <w:snapToGrid w:val="0"/>
        <w:ind w:firstLine="420"/>
        <w:jc w:val="both"/>
        <w:rPr>
          <w:rFonts w:cs="Times New Roman"/>
          <w:szCs w:val="21"/>
        </w:rPr>
      </w:pPr>
      <w:bookmarkStart w:id="1" w:name="_Hlk34373102"/>
      <w:r w:rsidRPr="00A6179F">
        <w:rPr>
          <w:rFonts w:cs="Times New Roman"/>
          <w:szCs w:val="21"/>
        </w:rPr>
        <w:t>色谱条件柱温起始温度一般为</w:t>
      </w:r>
      <w:r w:rsidRPr="00A6179F">
        <w:rPr>
          <w:rFonts w:cs="Times New Roman"/>
          <w:szCs w:val="21"/>
        </w:rPr>
        <w:t>50℃</w:t>
      </w:r>
      <w:r w:rsidRPr="00A6179F">
        <w:rPr>
          <w:rFonts w:cs="Times New Roman"/>
          <w:szCs w:val="21"/>
        </w:rPr>
        <w:t>，保持</w:t>
      </w:r>
      <w:r w:rsidRPr="00A6179F">
        <w:rPr>
          <w:rFonts w:cs="Times New Roman"/>
          <w:szCs w:val="21"/>
        </w:rPr>
        <w:t>10</w:t>
      </w:r>
      <w:r w:rsidRPr="00A6179F">
        <w:rPr>
          <w:rFonts w:cs="Times New Roman"/>
          <w:szCs w:val="21"/>
        </w:rPr>
        <w:t>分钟，再以每分钟</w:t>
      </w:r>
      <w:r w:rsidRPr="00A6179F">
        <w:rPr>
          <w:rFonts w:cs="Times New Roman"/>
          <w:szCs w:val="21"/>
        </w:rPr>
        <w:t>10℃</w:t>
      </w:r>
      <w:r w:rsidRPr="00A6179F">
        <w:rPr>
          <w:rFonts w:cs="Times New Roman"/>
          <w:szCs w:val="21"/>
        </w:rPr>
        <w:t>的速率升温至</w:t>
      </w:r>
      <w:r w:rsidRPr="00A6179F">
        <w:rPr>
          <w:rFonts w:cs="Times New Roman"/>
          <w:szCs w:val="21"/>
        </w:rPr>
        <w:t>150℃</w:t>
      </w:r>
      <w:r w:rsidRPr="00A6179F">
        <w:rPr>
          <w:rFonts w:cs="Times New Roman"/>
          <w:szCs w:val="21"/>
        </w:rPr>
        <w:t>，保持</w:t>
      </w:r>
      <w:r w:rsidRPr="00A6179F">
        <w:rPr>
          <w:rFonts w:cs="Times New Roman"/>
          <w:szCs w:val="21"/>
        </w:rPr>
        <w:t>10</w:t>
      </w:r>
      <w:r w:rsidRPr="00A6179F">
        <w:rPr>
          <w:rFonts w:cs="Times New Roman"/>
          <w:szCs w:val="21"/>
        </w:rPr>
        <w:t>分钟；以氮气为载气，流速为每分钟</w:t>
      </w:r>
      <w:r w:rsidRPr="00A6179F">
        <w:rPr>
          <w:rFonts w:cs="Times New Roman"/>
          <w:szCs w:val="21"/>
        </w:rPr>
        <w:t>1ml/min</w:t>
      </w:r>
      <w:r w:rsidRPr="00A6179F">
        <w:rPr>
          <w:rFonts w:cs="Times New Roman"/>
          <w:szCs w:val="21"/>
        </w:rPr>
        <w:t>；顶空温度为</w:t>
      </w:r>
      <w:r w:rsidRPr="00A6179F">
        <w:rPr>
          <w:rFonts w:cs="Times New Roman"/>
          <w:szCs w:val="21"/>
        </w:rPr>
        <w:t>100℃</w:t>
      </w:r>
      <w:r w:rsidRPr="00A6179F">
        <w:rPr>
          <w:rFonts w:cs="Times New Roman"/>
          <w:szCs w:val="21"/>
        </w:rPr>
        <w:t>，顶空平衡时间为</w:t>
      </w:r>
      <w:r w:rsidRPr="00A6179F">
        <w:rPr>
          <w:rFonts w:cs="Times New Roman"/>
          <w:szCs w:val="21"/>
        </w:rPr>
        <w:t>60min</w:t>
      </w:r>
      <w:r w:rsidRPr="00A6179F">
        <w:rPr>
          <w:rFonts w:cs="Times New Roman"/>
          <w:szCs w:val="21"/>
        </w:rPr>
        <w:t>。进样口温度</w:t>
      </w:r>
      <w:r w:rsidRPr="00A6179F">
        <w:rPr>
          <w:rFonts w:cs="Times New Roman"/>
          <w:szCs w:val="21"/>
        </w:rPr>
        <w:t>200℃</w:t>
      </w:r>
      <w:r w:rsidRPr="00A6179F">
        <w:rPr>
          <w:rFonts w:cs="Times New Roman"/>
          <w:szCs w:val="21"/>
        </w:rPr>
        <w:t>，</w:t>
      </w:r>
      <w:bookmarkEnd w:id="1"/>
      <w:r w:rsidRPr="00A6179F">
        <w:rPr>
          <w:rFonts w:cs="Times New Roman"/>
          <w:szCs w:val="21"/>
        </w:rPr>
        <w:t>检测器（</w:t>
      </w:r>
      <w:r w:rsidRPr="00A6179F">
        <w:rPr>
          <w:rFonts w:cs="Times New Roman"/>
          <w:szCs w:val="21"/>
        </w:rPr>
        <w:t>FID</w:t>
      </w:r>
      <w:r w:rsidRPr="00A6179F">
        <w:rPr>
          <w:rFonts w:cs="Times New Roman"/>
          <w:szCs w:val="21"/>
        </w:rPr>
        <w:t>）温度</w:t>
      </w:r>
      <w:r w:rsidRPr="00A6179F">
        <w:rPr>
          <w:rFonts w:cs="Times New Roman"/>
          <w:szCs w:val="21"/>
        </w:rPr>
        <w:t>290℃</w:t>
      </w:r>
      <w:r w:rsidRPr="00A6179F">
        <w:rPr>
          <w:rFonts w:cs="Times New Roman"/>
          <w:szCs w:val="21"/>
        </w:rPr>
        <w:t>。</w:t>
      </w:r>
    </w:p>
    <w:p w14:paraId="25DCD812" w14:textId="3FE72E83" w:rsidR="00E60817" w:rsidRPr="00A6179F" w:rsidRDefault="00E60817" w:rsidP="00EA1AB1">
      <w:pPr>
        <w:adjustRightInd w:val="0"/>
        <w:snapToGrid w:val="0"/>
        <w:ind w:firstLine="420"/>
        <w:jc w:val="both"/>
        <w:rPr>
          <w:rFonts w:cs="Times New Roman"/>
          <w:szCs w:val="21"/>
        </w:rPr>
      </w:pPr>
      <w:r w:rsidRPr="00A6179F">
        <w:rPr>
          <w:rFonts w:cs="Times New Roman"/>
          <w:szCs w:val="21"/>
        </w:rPr>
        <w:t>具体品种的</w:t>
      </w:r>
      <w:r w:rsidRPr="00A6179F">
        <w:rPr>
          <w:rFonts w:cs="Times New Roman" w:hint="eastAsia"/>
          <w:szCs w:val="21"/>
        </w:rPr>
        <w:t>溶剂残留量</w:t>
      </w:r>
      <w:r w:rsidRPr="00A6179F">
        <w:rPr>
          <w:rFonts w:cs="Times New Roman"/>
          <w:szCs w:val="21"/>
        </w:rPr>
        <w:t>检查时，可根据该品种项下残留溶剂的种类调整</w:t>
      </w:r>
      <w:r w:rsidR="00E85BD6" w:rsidRPr="00A6179F">
        <w:rPr>
          <w:rFonts w:cs="Times New Roman" w:hint="eastAsia"/>
          <w:szCs w:val="21"/>
        </w:rPr>
        <w:t>色谱柱和</w:t>
      </w:r>
      <w:r w:rsidRPr="00A6179F">
        <w:rPr>
          <w:rFonts w:cs="Times New Roman"/>
          <w:szCs w:val="21"/>
        </w:rPr>
        <w:t>升温程序。</w:t>
      </w:r>
    </w:p>
    <w:p w14:paraId="2459E728"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测定法取对照品溶液和供试品，分别进样（对照品溶液应连续进样不少于</w:t>
      </w:r>
      <w:r w:rsidRPr="00A6179F">
        <w:rPr>
          <w:rFonts w:cs="Times New Roman"/>
          <w:szCs w:val="21"/>
        </w:rPr>
        <w:t>3</w:t>
      </w:r>
      <w:r w:rsidRPr="00A6179F">
        <w:rPr>
          <w:rFonts w:cs="Times New Roman"/>
          <w:szCs w:val="21"/>
        </w:rPr>
        <w:t>次，所得待测物峰面积的</w:t>
      </w:r>
      <w:r w:rsidRPr="00A6179F">
        <w:rPr>
          <w:rFonts w:cs="Times New Roman"/>
          <w:szCs w:val="21"/>
        </w:rPr>
        <w:t>RSD</w:t>
      </w:r>
      <w:r w:rsidRPr="00A6179F">
        <w:rPr>
          <w:rFonts w:cs="Times New Roman"/>
          <w:szCs w:val="21"/>
        </w:rPr>
        <w:t>应不大于</w:t>
      </w:r>
      <w:r w:rsidRPr="00A6179F">
        <w:rPr>
          <w:rFonts w:cs="Times New Roman"/>
          <w:szCs w:val="21"/>
        </w:rPr>
        <w:t>10%</w:t>
      </w:r>
      <w:r w:rsidRPr="00A6179F">
        <w:rPr>
          <w:rFonts w:cs="Times New Roman"/>
          <w:szCs w:val="21"/>
        </w:rPr>
        <w:t>），测定待测峰的峰面积，按外标法计算供试品中各溶剂的含量。</w:t>
      </w:r>
    </w:p>
    <w:p w14:paraId="2805C159"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第二法</w:t>
      </w:r>
      <w:r w:rsidRPr="00A6179F">
        <w:rPr>
          <w:rFonts w:cs="Times New Roman"/>
          <w:szCs w:val="21"/>
        </w:rPr>
        <w:tab/>
      </w:r>
      <w:r w:rsidRPr="00A6179F">
        <w:rPr>
          <w:rFonts w:cs="Times New Roman"/>
          <w:szCs w:val="21"/>
        </w:rPr>
        <w:t>标准曲线法</w:t>
      </w:r>
    </w:p>
    <w:p w14:paraId="7FD748AC"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色谱条件同第一法。</w:t>
      </w:r>
    </w:p>
    <w:p w14:paraId="010BEA6C"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测定法取供试品和系列对照品溶液，分别进样（选取中间浓度的对照品溶液连续进样不少于</w:t>
      </w:r>
      <w:r w:rsidRPr="00A6179F">
        <w:rPr>
          <w:rFonts w:cs="Times New Roman"/>
          <w:szCs w:val="21"/>
        </w:rPr>
        <w:t>3</w:t>
      </w:r>
      <w:r w:rsidRPr="00A6179F">
        <w:rPr>
          <w:rFonts w:cs="Times New Roman"/>
          <w:szCs w:val="21"/>
        </w:rPr>
        <w:t>次，所得待测物峰面积的</w:t>
      </w:r>
      <w:r w:rsidRPr="00A6179F">
        <w:rPr>
          <w:rFonts w:cs="Times New Roman"/>
          <w:szCs w:val="21"/>
        </w:rPr>
        <w:t>RSD</w:t>
      </w:r>
      <w:r w:rsidRPr="00A6179F">
        <w:rPr>
          <w:rFonts w:cs="Times New Roman"/>
          <w:szCs w:val="21"/>
        </w:rPr>
        <w:t>应不大于</w:t>
      </w:r>
      <w:r w:rsidRPr="00A6179F">
        <w:rPr>
          <w:rFonts w:cs="Times New Roman"/>
          <w:szCs w:val="21"/>
        </w:rPr>
        <w:t>10%</w:t>
      </w:r>
      <w:r w:rsidRPr="00A6179F">
        <w:rPr>
          <w:rFonts w:cs="Times New Roman"/>
          <w:szCs w:val="21"/>
        </w:rPr>
        <w:t>；其余浓度的对照品溶液应连续进样不少于</w:t>
      </w:r>
      <w:r w:rsidRPr="00A6179F">
        <w:rPr>
          <w:rFonts w:cs="Times New Roman"/>
          <w:szCs w:val="21"/>
        </w:rPr>
        <w:t>2</w:t>
      </w:r>
      <w:r w:rsidRPr="00A6179F">
        <w:rPr>
          <w:rFonts w:cs="Times New Roman"/>
          <w:szCs w:val="21"/>
        </w:rPr>
        <w:t>次），测定待测峰的峰面积，绘制峰面积与对照品溶液浓度的标准曲线，其相关系数</w:t>
      </w:r>
      <w:r w:rsidRPr="00A6179F">
        <w:rPr>
          <w:rFonts w:cs="Times New Roman"/>
          <w:szCs w:val="21"/>
        </w:rPr>
        <w:t>r</w:t>
      </w:r>
      <w:r w:rsidRPr="00A6179F">
        <w:rPr>
          <w:rFonts w:cs="Times New Roman"/>
          <w:szCs w:val="21"/>
        </w:rPr>
        <w:t>应不小于</w:t>
      </w:r>
      <w:r w:rsidRPr="00A6179F">
        <w:rPr>
          <w:rFonts w:cs="Times New Roman"/>
          <w:szCs w:val="21"/>
        </w:rPr>
        <w:t>0.995</w:t>
      </w:r>
      <w:r w:rsidRPr="00A6179F">
        <w:rPr>
          <w:rFonts w:cs="Times New Roman"/>
          <w:szCs w:val="21"/>
        </w:rPr>
        <w:t>，并从标准曲线读取各待测溶剂的浓度，计算供试品中各溶剂的含量。</w:t>
      </w:r>
    </w:p>
    <w:p w14:paraId="412CCF22"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第三法气质联用色谱法</w:t>
      </w:r>
    </w:p>
    <w:p w14:paraId="6F131109" w14:textId="77777777" w:rsidR="00E60817" w:rsidRPr="00A6179F" w:rsidRDefault="00E60817" w:rsidP="00EA1AB1">
      <w:pPr>
        <w:adjustRightInd w:val="0"/>
        <w:snapToGrid w:val="0"/>
        <w:ind w:firstLine="420"/>
        <w:jc w:val="both"/>
        <w:rPr>
          <w:rFonts w:cs="Times New Roman"/>
          <w:szCs w:val="21"/>
        </w:rPr>
      </w:pPr>
      <w:r w:rsidRPr="00A6179F">
        <w:rPr>
          <w:rFonts w:cs="Times New Roman"/>
          <w:szCs w:val="21"/>
        </w:rPr>
        <w:t>当第一法和第二法样品色谱图中溶剂存在与苯及苯类溶剂保留时间一致的色谱峰时，应参考下面的气质联用色谱法对苯及苯类溶剂进行定性定量验证。</w:t>
      </w:r>
    </w:p>
    <w:p w14:paraId="498168BA" w14:textId="642B8D4C" w:rsidR="00E60817" w:rsidRPr="00A6179F" w:rsidRDefault="00E60817" w:rsidP="00EA1AB1">
      <w:pPr>
        <w:adjustRightInd w:val="0"/>
        <w:snapToGrid w:val="0"/>
        <w:ind w:firstLine="420"/>
        <w:jc w:val="both"/>
        <w:rPr>
          <w:rFonts w:cs="Times New Roman"/>
          <w:szCs w:val="21"/>
        </w:rPr>
      </w:pPr>
      <w:r w:rsidRPr="00A6179F">
        <w:rPr>
          <w:rFonts w:cs="Times New Roman"/>
          <w:szCs w:val="21"/>
        </w:rPr>
        <w:t>色谱条件</w:t>
      </w:r>
      <w:r w:rsidR="00E85BD6" w:rsidRPr="00A6179F">
        <w:rPr>
          <w:rFonts w:cs="Times New Roman" w:hint="eastAsia"/>
          <w:szCs w:val="21"/>
        </w:rPr>
        <w:t xml:space="preserve"> </w:t>
      </w:r>
      <w:r w:rsidRPr="00A6179F">
        <w:rPr>
          <w:rFonts w:cs="Times New Roman"/>
          <w:szCs w:val="21"/>
        </w:rPr>
        <w:t>柱温起始温度一般为</w:t>
      </w:r>
      <w:r w:rsidRPr="00A6179F">
        <w:rPr>
          <w:rFonts w:cs="Times New Roman"/>
          <w:szCs w:val="21"/>
        </w:rPr>
        <w:t>65℃</w:t>
      </w:r>
      <w:r w:rsidRPr="00A6179F">
        <w:rPr>
          <w:rFonts w:cs="Times New Roman"/>
          <w:szCs w:val="21"/>
        </w:rPr>
        <w:t>，保持</w:t>
      </w:r>
      <w:r w:rsidRPr="00A6179F">
        <w:rPr>
          <w:rFonts w:cs="Times New Roman"/>
          <w:szCs w:val="21"/>
        </w:rPr>
        <w:t>10min</w:t>
      </w:r>
      <w:r w:rsidRPr="00A6179F">
        <w:rPr>
          <w:rFonts w:cs="Times New Roman"/>
          <w:szCs w:val="21"/>
        </w:rPr>
        <w:t>，以</w:t>
      </w:r>
      <w:r w:rsidRPr="00A6179F">
        <w:rPr>
          <w:rFonts w:cs="Times New Roman"/>
          <w:szCs w:val="21"/>
        </w:rPr>
        <w:t>10℃/min</w:t>
      </w:r>
      <w:r w:rsidRPr="00A6179F">
        <w:rPr>
          <w:rFonts w:cs="Times New Roman"/>
          <w:szCs w:val="21"/>
        </w:rPr>
        <w:t>升温至</w:t>
      </w:r>
      <w:r w:rsidRPr="00A6179F">
        <w:rPr>
          <w:rFonts w:cs="Times New Roman"/>
          <w:szCs w:val="21"/>
        </w:rPr>
        <w:t>150℃</w:t>
      </w:r>
      <w:r w:rsidRPr="00A6179F">
        <w:rPr>
          <w:rFonts w:cs="Times New Roman"/>
          <w:szCs w:val="21"/>
        </w:rPr>
        <w:t>，保持</w:t>
      </w:r>
      <w:r w:rsidRPr="00A6179F">
        <w:rPr>
          <w:rFonts w:cs="Times New Roman"/>
          <w:szCs w:val="21"/>
        </w:rPr>
        <w:t>10min</w:t>
      </w:r>
      <w:r w:rsidRPr="00A6179F">
        <w:rPr>
          <w:rFonts w:cs="Times New Roman"/>
          <w:szCs w:val="21"/>
        </w:rPr>
        <w:t>；以高纯氦气为载气，流速为每分钟</w:t>
      </w:r>
      <w:r w:rsidRPr="00A6179F">
        <w:rPr>
          <w:rFonts w:cs="Times New Roman"/>
          <w:szCs w:val="21"/>
        </w:rPr>
        <w:t>1ml/min</w:t>
      </w:r>
      <w:r w:rsidRPr="00A6179F">
        <w:rPr>
          <w:rFonts w:cs="Times New Roman"/>
          <w:szCs w:val="21"/>
        </w:rPr>
        <w:t>；顶空温度为</w:t>
      </w:r>
      <w:r w:rsidRPr="00A6179F">
        <w:rPr>
          <w:rFonts w:cs="Times New Roman"/>
          <w:szCs w:val="21"/>
        </w:rPr>
        <w:t>100℃</w:t>
      </w:r>
      <w:r w:rsidRPr="00A6179F">
        <w:rPr>
          <w:rFonts w:cs="Times New Roman"/>
          <w:szCs w:val="21"/>
        </w:rPr>
        <w:t>，顶空平衡时间为</w:t>
      </w:r>
      <w:r w:rsidRPr="00A6179F">
        <w:rPr>
          <w:rFonts w:cs="Times New Roman"/>
          <w:szCs w:val="21"/>
        </w:rPr>
        <w:t>60min</w:t>
      </w:r>
      <w:r w:rsidRPr="00A6179F">
        <w:rPr>
          <w:rFonts w:cs="Times New Roman"/>
          <w:szCs w:val="21"/>
        </w:rPr>
        <w:t>；进样口温度</w:t>
      </w:r>
      <w:r w:rsidRPr="00A6179F">
        <w:rPr>
          <w:rFonts w:cs="Times New Roman"/>
          <w:szCs w:val="21"/>
        </w:rPr>
        <w:t>260℃</w:t>
      </w:r>
      <w:r w:rsidRPr="00A6179F">
        <w:rPr>
          <w:rFonts w:cs="Times New Roman"/>
          <w:szCs w:val="21"/>
        </w:rPr>
        <w:t>，检测器为质谱（</w:t>
      </w:r>
      <w:r w:rsidRPr="00A6179F">
        <w:rPr>
          <w:rFonts w:cs="Times New Roman"/>
          <w:szCs w:val="21"/>
        </w:rPr>
        <w:t>MS</w:t>
      </w:r>
      <w:r w:rsidRPr="00A6179F">
        <w:rPr>
          <w:rFonts w:cs="Times New Roman"/>
          <w:szCs w:val="21"/>
        </w:rPr>
        <w:t>）。</w:t>
      </w:r>
    </w:p>
    <w:p w14:paraId="049B7520" w14:textId="75D89012" w:rsidR="00E60817" w:rsidRPr="00A6179F" w:rsidRDefault="00E60817" w:rsidP="00EA1AB1">
      <w:pPr>
        <w:adjustRightInd w:val="0"/>
        <w:snapToGrid w:val="0"/>
        <w:ind w:firstLine="420"/>
        <w:jc w:val="both"/>
        <w:rPr>
          <w:rFonts w:cs="Times New Roman"/>
          <w:szCs w:val="21"/>
        </w:rPr>
      </w:pPr>
      <w:r w:rsidRPr="00A6179F">
        <w:rPr>
          <w:rFonts w:cs="Times New Roman"/>
          <w:szCs w:val="21"/>
        </w:rPr>
        <w:t>质谱条件</w:t>
      </w:r>
      <w:r w:rsidR="00E85BD6" w:rsidRPr="00A6179F">
        <w:rPr>
          <w:rFonts w:cs="Times New Roman" w:hint="eastAsia"/>
          <w:szCs w:val="21"/>
        </w:rPr>
        <w:t xml:space="preserve"> </w:t>
      </w:r>
      <w:r w:rsidRPr="00A6179F">
        <w:rPr>
          <w:rFonts w:cs="Times New Roman"/>
          <w:szCs w:val="21"/>
        </w:rPr>
        <w:t>以四级杆质谱仪检测，离子源为电子轰击源（</w:t>
      </w:r>
      <w:r w:rsidRPr="00A6179F">
        <w:rPr>
          <w:rFonts w:cs="Times New Roman"/>
          <w:szCs w:val="21"/>
        </w:rPr>
        <w:t>EI</w:t>
      </w:r>
      <w:r w:rsidRPr="00A6179F">
        <w:rPr>
          <w:rFonts w:cs="Times New Roman"/>
          <w:szCs w:val="21"/>
        </w:rPr>
        <w:t>），离子源温度</w:t>
      </w:r>
      <w:r w:rsidRPr="00A6179F">
        <w:rPr>
          <w:rFonts w:cs="Times New Roman"/>
          <w:szCs w:val="21"/>
        </w:rPr>
        <w:t>230℃</w:t>
      </w:r>
      <w:r w:rsidRPr="00A6179F">
        <w:rPr>
          <w:rFonts w:cs="Times New Roman"/>
          <w:szCs w:val="21"/>
        </w:rPr>
        <w:t>，质谱传输接口温度</w:t>
      </w:r>
      <w:r w:rsidRPr="00A6179F">
        <w:rPr>
          <w:rFonts w:cs="Times New Roman"/>
          <w:szCs w:val="21"/>
        </w:rPr>
        <w:t>200℃</w:t>
      </w:r>
      <w:r w:rsidRPr="00A6179F">
        <w:rPr>
          <w:rFonts w:cs="Times New Roman"/>
          <w:szCs w:val="21"/>
        </w:rPr>
        <w:t>。质谱监测模式为选择性离子（</w:t>
      </w:r>
      <w:r w:rsidRPr="00A6179F">
        <w:rPr>
          <w:rFonts w:cs="Times New Roman"/>
          <w:szCs w:val="21"/>
        </w:rPr>
        <w:t>SIM</w:t>
      </w:r>
      <w:r w:rsidRPr="00A6179F">
        <w:rPr>
          <w:rFonts w:cs="Times New Roman"/>
          <w:szCs w:val="21"/>
        </w:rPr>
        <w:t>）各化合物参考保留时间、监测离子对与检出限参考值见表</w:t>
      </w:r>
      <w:r w:rsidRPr="00A6179F">
        <w:rPr>
          <w:rFonts w:cs="Times New Roman"/>
          <w:szCs w:val="21"/>
        </w:rPr>
        <w:t>1</w:t>
      </w:r>
      <w:r w:rsidRPr="00A6179F">
        <w:rPr>
          <w:rFonts w:cs="Times New Roman"/>
          <w:szCs w:val="21"/>
        </w:rPr>
        <w:t>。</w:t>
      </w:r>
    </w:p>
    <w:p w14:paraId="5AE90006" w14:textId="41FB2463" w:rsidR="00E60817" w:rsidRPr="00A6179F" w:rsidRDefault="00E60817" w:rsidP="00EA1AB1">
      <w:pPr>
        <w:adjustRightInd w:val="0"/>
        <w:snapToGrid w:val="0"/>
        <w:ind w:firstLine="420"/>
        <w:jc w:val="both"/>
        <w:rPr>
          <w:rFonts w:cs="Times New Roman"/>
          <w:szCs w:val="21"/>
        </w:rPr>
      </w:pPr>
      <w:r w:rsidRPr="00A6179F">
        <w:rPr>
          <w:rFonts w:cs="Times New Roman"/>
          <w:szCs w:val="21"/>
        </w:rPr>
        <w:t>测定法取供试品和对照品溶液</w:t>
      </w:r>
      <w:r w:rsidRPr="00A6179F">
        <w:rPr>
          <w:rFonts w:cs="Times New Roman"/>
          <w:szCs w:val="21"/>
        </w:rPr>
        <w:t>20</w:t>
      </w:r>
      <w:r w:rsidRPr="00A6179F">
        <w:rPr>
          <w:rFonts w:cs="Times New Roman"/>
          <w:iCs/>
          <w:szCs w:val="21"/>
        </w:rPr>
        <w:t>μ</w:t>
      </w:r>
      <w:r w:rsidRPr="00A6179F">
        <w:rPr>
          <w:rFonts w:cs="Times New Roman"/>
          <w:szCs w:val="21"/>
        </w:rPr>
        <w:t>l</w:t>
      </w:r>
      <w:r w:rsidRPr="00A6179F">
        <w:rPr>
          <w:rFonts w:cs="Times New Roman"/>
          <w:szCs w:val="21"/>
        </w:rPr>
        <w:t>顶空进样，根据选择性离子进行定性定量测定。</w:t>
      </w:r>
    </w:p>
    <w:p w14:paraId="0BD1C724" w14:textId="10EB6510" w:rsidR="000C281C" w:rsidRPr="00A6179F" w:rsidRDefault="00E60817" w:rsidP="00EA1AB1">
      <w:pPr>
        <w:adjustRightInd w:val="0"/>
        <w:snapToGrid w:val="0"/>
        <w:ind w:firstLine="420"/>
        <w:jc w:val="both"/>
        <w:rPr>
          <w:rFonts w:cs="Times New Roman"/>
          <w:szCs w:val="21"/>
        </w:rPr>
      </w:pPr>
      <w:r w:rsidRPr="00A6179F">
        <w:rPr>
          <w:rFonts w:cs="Times New Roman"/>
          <w:szCs w:val="21"/>
        </w:rPr>
        <w:t>当用第一法和第二法测定样品中除苯及苯类之外的溶剂不符合规定时，可以参照第三法中色谱条件进行定性验证，溶剂保留时间、选择性离子参考值见表</w:t>
      </w:r>
      <w:r w:rsidRPr="00A6179F">
        <w:rPr>
          <w:rFonts w:cs="Times New Roman"/>
          <w:szCs w:val="21"/>
        </w:rPr>
        <w:t>1</w:t>
      </w:r>
      <w:r w:rsidRPr="00A6179F">
        <w:rPr>
          <w:rFonts w:cs="Times New Roman"/>
          <w:szCs w:val="21"/>
        </w:rPr>
        <w:t>。</w:t>
      </w:r>
    </w:p>
    <w:p w14:paraId="6EF03BE7" w14:textId="395DD2A0" w:rsidR="00E60817" w:rsidRDefault="00E60817" w:rsidP="00EA1AB1">
      <w:pPr>
        <w:adjustRightInd w:val="0"/>
        <w:snapToGrid w:val="0"/>
        <w:ind w:firstLineChars="0" w:firstLine="0"/>
        <w:jc w:val="center"/>
        <w:rPr>
          <w:rFonts w:cs="Times New Roman"/>
          <w:szCs w:val="21"/>
        </w:rPr>
      </w:pPr>
      <w:r>
        <w:rPr>
          <w:rFonts w:cs="Times New Roman"/>
          <w:szCs w:val="21"/>
        </w:rPr>
        <w:t>表</w:t>
      </w:r>
      <w:r>
        <w:rPr>
          <w:rFonts w:cs="Times New Roman"/>
          <w:szCs w:val="21"/>
        </w:rPr>
        <w:t xml:space="preserve">1   </w:t>
      </w:r>
      <w:r>
        <w:rPr>
          <w:rFonts w:cs="Times New Roman"/>
          <w:szCs w:val="21"/>
        </w:rPr>
        <w:t>溶剂保留时间、选择性离子参考值（残留溶剂种类不局限以下举例的溶剂）</w:t>
      </w:r>
    </w:p>
    <w:p w14:paraId="0F3BC2E3" w14:textId="77777777" w:rsidR="00EA1AB1" w:rsidRDefault="00EA1AB1" w:rsidP="00EA1AB1">
      <w:pPr>
        <w:adjustRightInd w:val="0"/>
        <w:snapToGrid w:val="0"/>
        <w:ind w:firstLineChars="0" w:firstLine="0"/>
        <w:jc w:val="center"/>
        <w:rPr>
          <w:rFonts w:cs="Times New Roman"/>
          <w:color w:val="000000"/>
          <w:szCs w:val="21"/>
        </w:rPr>
        <w:sectPr w:rsidR="00EA1AB1" w:rsidSect="00EA1AB1">
          <w:headerReference w:type="even" r:id="rId6"/>
          <w:headerReference w:type="default" r:id="rId7"/>
          <w:footerReference w:type="even" r:id="rId8"/>
          <w:footerReference w:type="default" r:id="rId9"/>
          <w:headerReference w:type="first" r:id="rId10"/>
          <w:footerReference w:type="first" r:id="rId11"/>
          <w:pgSz w:w="11906" w:h="16838"/>
          <w:pgMar w:top="1440" w:right="1797" w:bottom="1440" w:left="1797" w:header="851" w:footer="992" w:gutter="0"/>
          <w:lnNumType w:countBy="1" w:restart="newSection"/>
          <w:cols w:space="425"/>
          <w:docGrid w:type="lines" w:linePitch="312"/>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02"/>
        <w:gridCol w:w="1990"/>
        <w:gridCol w:w="1165"/>
        <w:gridCol w:w="873"/>
        <w:gridCol w:w="2123"/>
      </w:tblGrid>
      <w:tr w:rsidR="00E60817" w14:paraId="6056304E" w14:textId="77777777" w:rsidTr="00DF1765">
        <w:trPr>
          <w:jc w:val="center"/>
        </w:trPr>
        <w:tc>
          <w:tcPr>
            <w:tcW w:w="395" w:type="pct"/>
            <w:vAlign w:val="center"/>
          </w:tcPr>
          <w:p w14:paraId="1137028F" w14:textId="4E683811"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lastRenderedPageBreak/>
              <w:t>编号</w:t>
            </w:r>
          </w:p>
        </w:tc>
        <w:tc>
          <w:tcPr>
            <w:tcW w:w="998" w:type="pct"/>
            <w:vAlign w:val="center"/>
          </w:tcPr>
          <w:p w14:paraId="0669E252"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溶剂中文名称</w:t>
            </w:r>
          </w:p>
        </w:tc>
        <w:tc>
          <w:tcPr>
            <w:tcW w:w="1167" w:type="pct"/>
            <w:vAlign w:val="center"/>
          </w:tcPr>
          <w:p w14:paraId="271C2A60"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溶剂英文名称</w:t>
            </w:r>
          </w:p>
        </w:tc>
        <w:tc>
          <w:tcPr>
            <w:tcW w:w="683" w:type="pct"/>
            <w:vAlign w:val="center"/>
          </w:tcPr>
          <w:p w14:paraId="7E925C65"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保留时间</w:t>
            </w:r>
          </w:p>
        </w:tc>
        <w:tc>
          <w:tcPr>
            <w:tcW w:w="512" w:type="pct"/>
            <w:vAlign w:val="center"/>
          </w:tcPr>
          <w:p w14:paraId="4FEF7F62"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母离子</w:t>
            </w:r>
          </w:p>
        </w:tc>
        <w:tc>
          <w:tcPr>
            <w:tcW w:w="1244" w:type="pct"/>
            <w:vAlign w:val="center"/>
          </w:tcPr>
          <w:p w14:paraId="31F6B3A3"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特征离子</w:t>
            </w:r>
          </w:p>
        </w:tc>
      </w:tr>
      <w:tr w:rsidR="00E60817" w14:paraId="40CBBC15" w14:textId="77777777" w:rsidTr="00DF1765">
        <w:trPr>
          <w:jc w:val="center"/>
        </w:trPr>
        <w:tc>
          <w:tcPr>
            <w:tcW w:w="395" w:type="pct"/>
            <w:vAlign w:val="center"/>
          </w:tcPr>
          <w:p w14:paraId="6588141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w:t>
            </w:r>
          </w:p>
        </w:tc>
        <w:tc>
          <w:tcPr>
            <w:tcW w:w="998" w:type="pct"/>
            <w:vAlign w:val="center"/>
          </w:tcPr>
          <w:p w14:paraId="3077F546"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甲醇</w:t>
            </w:r>
          </w:p>
        </w:tc>
        <w:tc>
          <w:tcPr>
            <w:tcW w:w="1167" w:type="pct"/>
            <w:vAlign w:val="center"/>
          </w:tcPr>
          <w:p w14:paraId="0509516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methanol</w:t>
            </w:r>
          </w:p>
        </w:tc>
        <w:tc>
          <w:tcPr>
            <w:tcW w:w="683" w:type="pct"/>
            <w:vAlign w:val="center"/>
          </w:tcPr>
          <w:p w14:paraId="5183ACA3"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8.720</w:t>
            </w:r>
          </w:p>
        </w:tc>
        <w:tc>
          <w:tcPr>
            <w:tcW w:w="512" w:type="pct"/>
            <w:vAlign w:val="center"/>
          </w:tcPr>
          <w:p w14:paraId="4382BE1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32</w:t>
            </w:r>
          </w:p>
        </w:tc>
        <w:tc>
          <w:tcPr>
            <w:tcW w:w="1244" w:type="pct"/>
            <w:vAlign w:val="center"/>
          </w:tcPr>
          <w:p w14:paraId="09C40A4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15/29/31/32</w:t>
            </w:r>
          </w:p>
        </w:tc>
      </w:tr>
      <w:tr w:rsidR="00E60817" w14:paraId="54372B22" w14:textId="77777777" w:rsidTr="00DF1765">
        <w:trPr>
          <w:jc w:val="center"/>
        </w:trPr>
        <w:tc>
          <w:tcPr>
            <w:tcW w:w="395" w:type="pct"/>
            <w:vAlign w:val="center"/>
          </w:tcPr>
          <w:p w14:paraId="62FB4D7D"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2</w:t>
            </w:r>
          </w:p>
        </w:tc>
        <w:tc>
          <w:tcPr>
            <w:tcW w:w="998" w:type="pct"/>
            <w:vAlign w:val="center"/>
          </w:tcPr>
          <w:p w14:paraId="5DD8A8C6"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乙醇</w:t>
            </w:r>
          </w:p>
        </w:tc>
        <w:tc>
          <w:tcPr>
            <w:tcW w:w="1167" w:type="pct"/>
            <w:vAlign w:val="center"/>
          </w:tcPr>
          <w:p w14:paraId="5BCF9124"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ethanol</w:t>
            </w:r>
          </w:p>
        </w:tc>
        <w:tc>
          <w:tcPr>
            <w:tcW w:w="683" w:type="pct"/>
            <w:vAlign w:val="center"/>
          </w:tcPr>
          <w:p w14:paraId="44FFEA6B"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9.890</w:t>
            </w:r>
          </w:p>
        </w:tc>
        <w:tc>
          <w:tcPr>
            <w:tcW w:w="512" w:type="pct"/>
            <w:vAlign w:val="center"/>
          </w:tcPr>
          <w:p w14:paraId="28D0EAA2"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46</w:t>
            </w:r>
          </w:p>
        </w:tc>
        <w:tc>
          <w:tcPr>
            <w:tcW w:w="1244" w:type="pct"/>
            <w:vAlign w:val="center"/>
          </w:tcPr>
          <w:p w14:paraId="71C60192"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27/29/31/43/45/46</w:t>
            </w:r>
          </w:p>
        </w:tc>
      </w:tr>
      <w:tr w:rsidR="00E60817" w14:paraId="17102B1A" w14:textId="77777777" w:rsidTr="00DF1765">
        <w:trPr>
          <w:jc w:val="center"/>
        </w:trPr>
        <w:tc>
          <w:tcPr>
            <w:tcW w:w="395" w:type="pct"/>
            <w:vAlign w:val="center"/>
          </w:tcPr>
          <w:p w14:paraId="637EA32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3</w:t>
            </w:r>
          </w:p>
        </w:tc>
        <w:tc>
          <w:tcPr>
            <w:tcW w:w="998" w:type="pct"/>
            <w:vAlign w:val="center"/>
          </w:tcPr>
          <w:p w14:paraId="0C46B770"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异丙醇</w:t>
            </w:r>
          </w:p>
        </w:tc>
        <w:tc>
          <w:tcPr>
            <w:tcW w:w="1167" w:type="pct"/>
            <w:vAlign w:val="center"/>
          </w:tcPr>
          <w:p w14:paraId="0FF7FF1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isopropyl alcohol</w:t>
            </w:r>
          </w:p>
        </w:tc>
        <w:tc>
          <w:tcPr>
            <w:tcW w:w="683" w:type="pct"/>
            <w:vAlign w:val="center"/>
          </w:tcPr>
          <w:p w14:paraId="38028A3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9.523</w:t>
            </w:r>
          </w:p>
        </w:tc>
        <w:tc>
          <w:tcPr>
            <w:tcW w:w="512" w:type="pct"/>
            <w:vAlign w:val="center"/>
          </w:tcPr>
          <w:p w14:paraId="547D7742"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w:t>
            </w:r>
          </w:p>
        </w:tc>
        <w:tc>
          <w:tcPr>
            <w:tcW w:w="1244" w:type="pct"/>
            <w:vAlign w:val="center"/>
          </w:tcPr>
          <w:p w14:paraId="6C5514E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27/29/43/45/59</w:t>
            </w:r>
          </w:p>
        </w:tc>
      </w:tr>
      <w:tr w:rsidR="00E60817" w14:paraId="3E65DD60" w14:textId="77777777" w:rsidTr="00DF1765">
        <w:trPr>
          <w:jc w:val="center"/>
        </w:trPr>
        <w:tc>
          <w:tcPr>
            <w:tcW w:w="395" w:type="pct"/>
            <w:vAlign w:val="center"/>
          </w:tcPr>
          <w:p w14:paraId="6252530B"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4</w:t>
            </w:r>
          </w:p>
        </w:tc>
        <w:tc>
          <w:tcPr>
            <w:tcW w:w="998" w:type="pct"/>
            <w:vAlign w:val="center"/>
          </w:tcPr>
          <w:p w14:paraId="0B48BB98"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正丁醇</w:t>
            </w:r>
          </w:p>
        </w:tc>
        <w:tc>
          <w:tcPr>
            <w:tcW w:w="1167" w:type="pct"/>
            <w:vAlign w:val="center"/>
          </w:tcPr>
          <w:p w14:paraId="00516D98"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1-Butanol</w:t>
            </w:r>
          </w:p>
        </w:tc>
        <w:tc>
          <w:tcPr>
            <w:tcW w:w="683" w:type="pct"/>
            <w:vAlign w:val="center"/>
          </w:tcPr>
          <w:p w14:paraId="4EE61C9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17.198</w:t>
            </w:r>
          </w:p>
        </w:tc>
        <w:tc>
          <w:tcPr>
            <w:tcW w:w="512" w:type="pct"/>
            <w:vAlign w:val="center"/>
          </w:tcPr>
          <w:p w14:paraId="6CE475F2"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w:t>
            </w:r>
          </w:p>
        </w:tc>
        <w:tc>
          <w:tcPr>
            <w:tcW w:w="1244" w:type="pct"/>
            <w:vAlign w:val="center"/>
          </w:tcPr>
          <w:p w14:paraId="138DB503"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27/29/31/41/43/56</w:t>
            </w:r>
          </w:p>
        </w:tc>
      </w:tr>
      <w:tr w:rsidR="00E60817" w14:paraId="0BEE0DC3" w14:textId="77777777" w:rsidTr="00DF1765">
        <w:trPr>
          <w:jc w:val="center"/>
        </w:trPr>
        <w:tc>
          <w:tcPr>
            <w:tcW w:w="395" w:type="pct"/>
            <w:vAlign w:val="center"/>
          </w:tcPr>
          <w:p w14:paraId="64EA88EF"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5</w:t>
            </w:r>
          </w:p>
        </w:tc>
        <w:tc>
          <w:tcPr>
            <w:tcW w:w="998" w:type="pct"/>
            <w:vAlign w:val="center"/>
          </w:tcPr>
          <w:p w14:paraId="14942998"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丙酮</w:t>
            </w:r>
          </w:p>
        </w:tc>
        <w:tc>
          <w:tcPr>
            <w:tcW w:w="1167" w:type="pct"/>
            <w:vAlign w:val="center"/>
          </w:tcPr>
          <w:p w14:paraId="130C6DD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acetone</w:t>
            </w:r>
          </w:p>
        </w:tc>
        <w:tc>
          <w:tcPr>
            <w:tcW w:w="683" w:type="pct"/>
            <w:vAlign w:val="center"/>
          </w:tcPr>
          <w:p w14:paraId="5EDF48E4"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7.027</w:t>
            </w:r>
          </w:p>
        </w:tc>
        <w:tc>
          <w:tcPr>
            <w:tcW w:w="512" w:type="pct"/>
            <w:vAlign w:val="center"/>
          </w:tcPr>
          <w:p w14:paraId="36FC46F8"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58</w:t>
            </w:r>
          </w:p>
        </w:tc>
        <w:tc>
          <w:tcPr>
            <w:tcW w:w="1244" w:type="pct"/>
            <w:vAlign w:val="center"/>
          </w:tcPr>
          <w:p w14:paraId="073B6067"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27/29/31/42/43/58</w:t>
            </w:r>
          </w:p>
        </w:tc>
      </w:tr>
      <w:tr w:rsidR="00E60817" w14:paraId="6C754326" w14:textId="77777777" w:rsidTr="00DF1765">
        <w:trPr>
          <w:jc w:val="center"/>
        </w:trPr>
        <w:tc>
          <w:tcPr>
            <w:tcW w:w="395" w:type="pct"/>
            <w:vAlign w:val="center"/>
          </w:tcPr>
          <w:p w14:paraId="4692AA1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6</w:t>
            </w:r>
          </w:p>
        </w:tc>
        <w:tc>
          <w:tcPr>
            <w:tcW w:w="998" w:type="pct"/>
            <w:vAlign w:val="center"/>
          </w:tcPr>
          <w:p w14:paraId="0394DDD3"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丁酮</w:t>
            </w:r>
          </w:p>
        </w:tc>
        <w:tc>
          <w:tcPr>
            <w:tcW w:w="1167" w:type="pct"/>
            <w:vAlign w:val="center"/>
          </w:tcPr>
          <w:p w14:paraId="010E9F7A"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butanone</w:t>
            </w:r>
          </w:p>
        </w:tc>
        <w:tc>
          <w:tcPr>
            <w:tcW w:w="683" w:type="pct"/>
            <w:vAlign w:val="center"/>
          </w:tcPr>
          <w:p w14:paraId="2908CB2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9.029</w:t>
            </w:r>
          </w:p>
        </w:tc>
        <w:tc>
          <w:tcPr>
            <w:tcW w:w="512" w:type="pct"/>
            <w:vAlign w:val="center"/>
          </w:tcPr>
          <w:p w14:paraId="5166B47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72</w:t>
            </w:r>
          </w:p>
        </w:tc>
        <w:tc>
          <w:tcPr>
            <w:tcW w:w="1244" w:type="pct"/>
            <w:vAlign w:val="center"/>
          </w:tcPr>
          <w:p w14:paraId="6C25428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27/29/43/57/72</w:t>
            </w:r>
          </w:p>
        </w:tc>
      </w:tr>
      <w:tr w:rsidR="00E60817" w14:paraId="64B86556" w14:textId="77777777" w:rsidTr="00DF1765">
        <w:trPr>
          <w:jc w:val="center"/>
        </w:trPr>
        <w:tc>
          <w:tcPr>
            <w:tcW w:w="395" w:type="pct"/>
            <w:vAlign w:val="center"/>
          </w:tcPr>
          <w:p w14:paraId="699E056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7</w:t>
            </w:r>
          </w:p>
        </w:tc>
        <w:tc>
          <w:tcPr>
            <w:tcW w:w="998" w:type="pct"/>
            <w:vAlign w:val="center"/>
          </w:tcPr>
          <w:p w14:paraId="6E4269AE"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乙酸乙酯</w:t>
            </w:r>
          </w:p>
        </w:tc>
        <w:tc>
          <w:tcPr>
            <w:tcW w:w="1167" w:type="pct"/>
            <w:vAlign w:val="center"/>
          </w:tcPr>
          <w:p w14:paraId="04DD1E9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ethyl acetate</w:t>
            </w:r>
          </w:p>
        </w:tc>
        <w:tc>
          <w:tcPr>
            <w:tcW w:w="683" w:type="pct"/>
            <w:vAlign w:val="center"/>
          </w:tcPr>
          <w:p w14:paraId="31EA58F3"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8.494</w:t>
            </w:r>
          </w:p>
        </w:tc>
        <w:tc>
          <w:tcPr>
            <w:tcW w:w="512" w:type="pct"/>
            <w:vAlign w:val="center"/>
          </w:tcPr>
          <w:p w14:paraId="0663259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88</w:t>
            </w:r>
          </w:p>
        </w:tc>
        <w:tc>
          <w:tcPr>
            <w:tcW w:w="1244" w:type="pct"/>
            <w:vAlign w:val="center"/>
          </w:tcPr>
          <w:p w14:paraId="24A4E380"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29/43/45/61/70/88</w:t>
            </w:r>
          </w:p>
        </w:tc>
      </w:tr>
      <w:tr w:rsidR="00E60817" w14:paraId="6A56E070" w14:textId="77777777" w:rsidTr="00DF1765">
        <w:trPr>
          <w:jc w:val="center"/>
        </w:trPr>
        <w:tc>
          <w:tcPr>
            <w:tcW w:w="395" w:type="pct"/>
            <w:vAlign w:val="center"/>
          </w:tcPr>
          <w:p w14:paraId="11148B28"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8</w:t>
            </w:r>
          </w:p>
        </w:tc>
        <w:tc>
          <w:tcPr>
            <w:tcW w:w="998" w:type="pct"/>
            <w:vAlign w:val="center"/>
          </w:tcPr>
          <w:p w14:paraId="5C2B3B1F"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乙酸丙酯</w:t>
            </w:r>
          </w:p>
        </w:tc>
        <w:tc>
          <w:tcPr>
            <w:tcW w:w="1167" w:type="pct"/>
            <w:vAlign w:val="center"/>
          </w:tcPr>
          <w:p w14:paraId="0187F9F2"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propyl acetate</w:t>
            </w:r>
          </w:p>
        </w:tc>
        <w:tc>
          <w:tcPr>
            <w:tcW w:w="683" w:type="pct"/>
            <w:vAlign w:val="center"/>
          </w:tcPr>
          <w:p w14:paraId="588C58AF"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11.503</w:t>
            </w:r>
          </w:p>
        </w:tc>
        <w:tc>
          <w:tcPr>
            <w:tcW w:w="512" w:type="pct"/>
            <w:vAlign w:val="center"/>
          </w:tcPr>
          <w:p w14:paraId="1B330C04"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w:t>
            </w:r>
          </w:p>
        </w:tc>
        <w:tc>
          <w:tcPr>
            <w:tcW w:w="1244" w:type="pct"/>
            <w:vAlign w:val="center"/>
          </w:tcPr>
          <w:p w14:paraId="1060BD9D"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43/61/73</w:t>
            </w:r>
          </w:p>
        </w:tc>
      </w:tr>
      <w:tr w:rsidR="00E60817" w14:paraId="76D0663C" w14:textId="77777777" w:rsidTr="00DF1765">
        <w:trPr>
          <w:jc w:val="center"/>
        </w:trPr>
        <w:tc>
          <w:tcPr>
            <w:tcW w:w="395" w:type="pct"/>
            <w:vAlign w:val="center"/>
          </w:tcPr>
          <w:p w14:paraId="21ED0F9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9</w:t>
            </w:r>
          </w:p>
        </w:tc>
        <w:tc>
          <w:tcPr>
            <w:tcW w:w="998" w:type="pct"/>
            <w:vAlign w:val="center"/>
          </w:tcPr>
          <w:p w14:paraId="1E7AF037"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乙酸异丁酯</w:t>
            </w:r>
          </w:p>
        </w:tc>
        <w:tc>
          <w:tcPr>
            <w:tcW w:w="1167" w:type="pct"/>
            <w:vAlign w:val="center"/>
          </w:tcPr>
          <w:p w14:paraId="6D5E2CD8"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isobutyl acetate</w:t>
            </w:r>
          </w:p>
        </w:tc>
        <w:tc>
          <w:tcPr>
            <w:tcW w:w="683" w:type="pct"/>
            <w:vAlign w:val="center"/>
          </w:tcPr>
          <w:p w14:paraId="50EB4384"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12.843</w:t>
            </w:r>
          </w:p>
        </w:tc>
        <w:tc>
          <w:tcPr>
            <w:tcW w:w="512" w:type="pct"/>
            <w:vAlign w:val="center"/>
          </w:tcPr>
          <w:p w14:paraId="6C8A1244"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w:t>
            </w:r>
          </w:p>
        </w:tc>
        <w:tc>
          <w:tcPr>
            <w:tcW w:w="1244" w:type="pct"/>
            <w:vAlign w:val="center"/>
          </w:tcPr>
          <w:p w14:paraId="07EBA973"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43/56/73/86</w:t>
            </w:r>
          </w:p>
        </w:tc>
      </w:tr>
      <w:tr w:rsidR="00E60817" w14:paraId="50E4D364" w14:textId="77777777" w:rsidTr="00DF1765">
        <w:trPr>
          <w:jc w:val="center"/>
        </w:trPr>
        <w:tc>
          <w:tcPr>
            <w:tcW w:w="395" w:type="pct"/>
            <w:vAlign w:val="center"/>
          </w:tcPr>
          <w:p w14:paraId="33EEF43F"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10</w:t>
            </w:r>
          </w:p>
        </w:tc>
        <w:tc>
          <w:tcPr>
            <w:tcW w:w="998" w:type="pct"/>
            <w:vAlign w:val="center"/>
          </w:tcPr>
          <w:p w14:paraId="711CF6D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乙酸丁酯</w:t>
            </w:r>
          </w:p>
        </w:tc>
        <w:tc>
          <w:tcPr>
            <w:tcW w:w="1167" w:type="pct"/>
            <w:vAlign w:val="center"/>
          </w:tcPr>
          <w:p w14:paraId="7F359945"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butyl acetate</w:t>
            </w:r>
          </w:p>
        </w:tc>
        <w:tc>
          <w:tcPr>
            <w:tcW w:w="683" w:type="pct"/>
            <w:vAlign w:val="center"/>
          </w:tcPr>
          <w:p w14:paraId="4645FB4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15.019</w:t>
            </w:r>
          </w:p>
        </w:tc>
        <w:tc>
          <w:tcPr>
            <w:tcW w:w="512" w:type="pct"/>
            <w:vAlign w:val="center"/>
          </w:tcPr>
          <w:p w14:paraId="05C4CAF4"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w:t>
            </w:r>
          </w:p>
        </w:tc>
        <w:tc>
          <w:tcPr>
            <w:tcW w:w="1244" w:type="pct"/>
            <w:vAlign w:val="center"/>
          </w:tcPr>
          <w:p w14:paraId="69AA9A0D"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43/56/61/73</w:t>
            </w:r>
          </w:p>
        </w:tc>
      </w:tr>
      <w:tr w:rsidR="00E60817" w14:paraId="78753AE0" w14:textId="77777777" w:rsidTr="00DF1765">
        <w:trPr>
          <w:jc w:val="center"/>
        </w:trPr>
        <w:tc>
          <w:tcPr>
            <w:tcW w:w="395" w:type="pct"/>
            <w:vAlign w:val="center"/>
          </w:tcPr>
          <w:p w14:paraId="758E8807"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11</w:t>
            </w:r>
          </w:p>
        </w:tc>
        <w:tc>
          <w:tcPr>
            <w:tcW w:w="998" w:type="pct"/>
            <w:vAlign w:val="center"/>
          </w:tcPr>
          <w:p w14:paraId="7805798A"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苯</w:t>
            </w:r>
          </w:p>
        </w:tc>
        <w:tc>
          <w:tcPr>
            <w:tcW w:w="1167" w:type="pct"/>
            <w:vAlign w:val="center"/>
          </w:tcPr>
          <w:p w14:paraId="05148CD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Benzene</w:t>
            </w:r>
          </w:p>
        </w:tc>
        <w:tc>
          <w:tcPr>
            <w:tcW w:w="683" w:type="pct"/>
            <w:vAlign w:val="center"/>
          </w:tcPr>
          <w:p w14:paraId="006C92CA"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10.652</w:t>
            </w:r>
          </w:p>
        </w:tc>
        <w:tc>
          <w:tcPr>
            <w:tcW w:w="512" w:type="pct"/>
            <w:vAlign w:val="center"/>
          </w:tcPr>
          <w:p w14:paraId="6048121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78</w:t>
            </w:r>
          </w:p>
        </w:tc>
        <w:tc>
          <w:tcPr>
            <w:tcW w:w="1244" w:type="pct"/>
            <w:vAlign w:val="center"/>
          </w:tcPr>
          <w:p w14:paraId="47EA0957"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39/51/78</w:t>
            </w:r>
          </w:p>
        </w:tc>
      </w:tr>
      <w:tr w:rsidR="00E60817" w14:paraId="7F17D7EA" w14:textId="77777777" w:rsidTr="00DF1765">
        <w:trPr>
          <w:jc w:val="center"/>
        </w:trPr>
        <w:tc>
          <w:tcPr>
            <w:tcW w:w="395" w:type="pct"/>
            <w:vAlign w:val="center"/>
          </w:tcPr>
          <w:p w14:paraId="44608F46"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12</w:t>
            </w:r>
          </w:p>
        </w:tc>
        <w:tc>
          <w:tcPr>
            <w:tcW w:w="998" w:type="pct"/>
            <w:vAlign w:val="center"/>
          </w:tcPr>
          <w:p w14:paraId="4765397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甲苯</w:t>
            </w:r>
          </w:p>
        </w:tc>
        <w:tc>
          <w:tcPr>
            <w:tcW w:w="1167" w:type="pct"/>
            <w:vAlign w:val="center"/>
          </w:tcPr>
          <w:p w14:paraId="115B27B6"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Toluene</w:t>
            </w:r>
          </w:p>
        </w:tc>
        <w:tc>
          <w:tcPr>
            <w:tcW w:w="683" w:type="pct"/>
            <w:vAlign w:val="center"/>
          </w:tcPr>
          <w:p w14:paraId="710F268A"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14.239</w:t>
            </w:r>
          </w:p>
        </w:tc>
        <w:tc>
          <w:tcPr>
            <w:tcW w:w="512" w:type="pct"/>
            <w:vAlign w:val="center"/>
          </w:tcPr>
          <w:p w14:paraId="6D466987"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91</w:t>
            </w:r>
          </w:p>
        </w:tc>
        <w:tc>
          <w:tcPr>
            <w:tcW w:w="1244" w:type="pct"/>
            <w:vAlign w:val="center"/>
          </w:tcPr>
          <w:p w14:paraId="414B4160"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39/51/65/91</w:t>
            </w:r>
          </w:p>
        </w:tc>
      </w:tr>
      <w:tr w:rsidR="00E60817" w14:paraId="54E8D213" w14:textId="77777777" w:rsidTr="00DF1765">
        <w:trPr>
          <w:jc w:val="center"/>
        </w:trPr>
        <w:tc>
          <w:tcPr>
            <w:tcW w:w="395" w:type="pct"/>
            <w:vAlign w:val="center"/>
          </w:tcPr>
          <w:p w14:paraId="50C3164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13</w:t>
            </w:r>
          </w:p>
        </w:tc>
        <w:tc>
          <w:tcPr>
            <w:tcW w:w="998" w:type="pct"/>
            <w:vAlign w:val="center"/>
          </w:tcPr>
          <w:p w14:paraId="6739AB54"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乙苯</w:t>
            </w:r>
          </w:p>
        </w:tc>
        <w:tc>
          <w:tcPr>
            <w:tcW w:w="1167" w:type="pct"/>
            <w:vAlign w:val="center"/>
          </w:tcPr>
          <w:p w14:paraId="2A6EAF0D"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Ethylbenzene</w:t>
            </w:r>
          </w:p>
        </w:tc>
        <w:tc>
          <w:tcPr>
            <w:tcW w:w="683" w:type="pct"/>
            <w:vAlign w:val="center"/>
          </w:tcPr>
          <w:p w14:paraId="733E5106"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17.205</w:t>
            </w:r>
          </w:p>
        </w:tc>
        <w:tc>
          <w:tcPr>
            <w:tcW w:w="512" w:type="pct"/>
            <w:vAlign w:val="center"/>
          </w:tcPr>
          <w:p w14:paraId="38B74213"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106</w:t>
            </w:r>
          </w:p>
        </w:tc>
        <w:tc>
          <w:tcPr>
            <w:tcW w:w="1244" w:type="pct"/>
            <w:vAlign w:val="center"/>
          </w:tcPr>
          <w:p w14:paraId="696EA625"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39/51/65/77/91/106</w:t>
            </w:r>
          </w:p>
        </w:tc>
      </w:tr>
      <w:tr w:rsidR="00E60817" w14:paraId="4626EF17" w14:textId="77777777" w:rsidTr="00DF1765">
        <w:trPr>
          <w:jc w:val="center"/>
        </w:trPr>
        <w:tc>
          <w:tcPr>
            <w:tcW w:w="395" w:type="pct"/>
            <w:vAlign w:val="center"/>
          </w:tcPr>
          <w:p w14:paraId="02D00DAE"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14</w:t>
            </w:r>
          </w:p>
        </w:tc>
        <w:tc>
          <w:tcPr>
            <w:tcW w:w="998" w:type="pct"/>
            <w:vAlign w:val="center"/>
          </w:tcPr>
          <w:p w14:paraId="02A9797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对二甲苯</w:t>
            </w:r>
          </w:p>
        </w:tc>
        <w:tc>
          <w:tcPr>
            <w:tcW w:w="1167" w:type="pct"/>
            <w:vAlign w:val="center"/>
          </w:tcPr>
          <w:p w14:paraId="3AA5BF5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p-xylene</w:t>
            </w:r>
          </w:p>
        </w:tc>
        <w:tc>
          <w:tcPr>
            <w:tcW w:w="683" w:type="pct"/>
            <w:vAlign w:val="center"/>
          </w:tcPr>
          <w:p w14:paraId="03AA8023"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17.456</w:t>
            </w:r>
          </w:p>
        </w:tc>
        <w:tc>
          <w:tcPr>
            <w:tcW w:w="512" w:type="pct"/>
            <w:vAlign w:val="center"/>
          </w:tcPr>
          <w:p w14:paraId="3F028380"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106</w:t>
            </w:r>
          </w:p>
        </w:tc>
        <w:tc>
          <w:tcPr>
            <w:tcW w:w="1244" w:type="pct"/>
            <w:vAlign w:val="center"/>
          </w:tcPr>
          <w:p w14:paraId="5E7B959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39/51/65/77/91/106</w:t>
            </w:r>
          </w:p>
        </w:tc>
      </w:tr>
      <w:tr w:rsidR="00E60817" w14:paraId="3A9A00B3" w14:textId="77777777" w:rsidTr="00DF1765">
        <w:trPr>
          <w:jc w:val="center"/>
        </w:trPr>
        <w:tc>
          <w:tcPr>
            <w:tcW w:w="395" w:type="pct"/>
            <w:vAlign w:val="center"/>
          </w:tcPr>
          <w:p w14:paraId="5EAF1D65"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15</w:t>
            </w:r>
          </w:p>
        </w:tc>
        <w:tc>
          <w:tcPr>
            <w:tcW w:w="998" w:type="pct"/>
            <w:vAlign w:val="center"/>
          </w:tcPr>
          <w:p w14:paraId="7F0795F0"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邻二甲苯</w:t>
            </w:r>
          </w:p>
        </w:tc>
        <w:tc>
          <w:tcPr>
            <w:tcW w:w="1167" w:type="pct"/>
            <w:vAlign w:val="center"/>
          </w:tcPr>
          <w:p w14:paraId="611007C1"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o-xylene</w:t>
            </w:r>
          </w:p>
        </w:tc>
        <w:tc>
          <w:tcPr>
            <w:tcW w:w="683" w:type="pct"/>
            <w:vAlign w:val="center"/>
          </w:tcPr>
          <w:p w14:paraId="3F0662C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17.667</w:t>
            </w:r>
          </w:p>
        </w:tc>
        <w:tc>
          <w:tcPr>
            <w:tcW w:w="512" w:type="pct"/>
            <w:vAlign w:val="center"/>
          </w:tcPr>
          <w:p w14:paraId="73089388"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106</w:t>
            </w:r>
          </w:p>
        </w:tc>
        <w:tc>
          <w:tcPr>
            <w:tcW w:w="1244" w:type="pct"/>
            <w:vAlign w:val="center"/>
          </w:tcPr>
          <w:p w14:paraId="2B10B26E"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39/51/65/77/91/106</w:t>
            </w:r>
          </w:p>
        </w:tc>
      </w:tr>
      <w:tr w:rsidR="00E60817" w14:paraId="6EBE874C" w14:textId="77777777" w:rsidTr="00DF1765">
        <w:trPr>
          <w:jc w:val="center"/>
        </w:trPr>
        <w:tc>
          <w:tcPr>
            <w:tcW w:w="395" w:type="pct"/>
            <w:vAlign w:val="center"/>
          </w:tcPr>
          <w:p w14:paraId="4119AB98"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16</w:t>
            </w:r>
          </w:p>
        </w:tc>
        <w:tc>
          <w:tcPr>
            <w:tcW w:w="998" w:type="pct"/>
            <w:vAlign w:val="center"/>
          </w:tcPr>
          <w:p w14:paraId="10D8B486"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间二甲苯</w:t>
            </w:r>
          </w:p>
        </w:tc>
        <w:tc>
          <w:tcPr>
            <w:tcW w:w="1167" w:type="pct"/>
            <w:vAlign w:val="center"/>
          </w:tcPr>
          <w:p w14:paraId="64922509"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m-xylene</w:t>
            </w:r>
          </w:p>
        </w:tc>
        <w:tc>
          <w:tcPr>
            <w:tcW w:w="683" w:type="pct"/>
            <w:vAlign w:val="center"/>
          </w:tcPr>
          <w:p w14:paraId="55A3B87D"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19.080</w:t>
            </w:r>
          </w:p>
        </w:tc>
        <w:tc>
          <w:tcPr>
            <w:tcW w:w="512" w:type="pct"/>
            <w:vAlign w:val="center"/>
          </w:tcPr>
          <w:p w14:paraId="04E974AC"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106</w:t>
            </w:r>
          </w:p>
        </w:tc>
        <w:tc>
          <w:tcPr>
            <w:tcW w:w="1244" w:type="pct"/>
            <w:vAlign w:val="center"/>
          </w:tcPr>
          <w:p w14:paraId="0B2D951F" w14:textId="77777777" w:rsidR="00E60817" w:rsidRDefault="00E60817" w:rsidP="00EA1AB1">
            <w:pPr>
              <w:adjustRightInd w:val="0"/>
              <w:snapToGrid w:val="0"/>
              <w:ind w:firstLineChars="0" w:firstLine="0"/>
              <w:jc w:val="center"/>
              <w:rPr>
                <w:rFonts w:cs="Times New Roman"/>
                <w:color w:val="000000"/>
                <w:szCs w:val="21"/>
              </w:rPr>
            </w:pPr>
            <w:r>
              <w:rPr>
                <w:rFonts w:cs="Times New Roman"/>
                <w:color w:val="000000"/>
                <w:szCs w:val="21"/>
              </w:rPr>
              <w:t>39/51/65/77/91/106</w:t>
            </w:r>
          </w:p>
        </w:tc>
      </w:tr>
      <w:tr w:rsidR="00E60817" w14:paraId="56BFD8DD" w14:textId="77777777" w:rsidTr="00DF1765">
        <w:trPr>
          <w:jc w:val="center"/>
        </w:trPr>
        <w:tc>
          <w:tcPr>
            <w:tcW w:w="5000" w:type="pct"/>
            <w:gridSpan w:val="6"/>
            <w:vAlign w:val="center"/>
          </w:tcPr>
          <w:p w14:paraId="1E5961ED" w14:textId="77777777" w:rsidR="00E60817" w:rsidRDefault="00E60817" w:rsidP="00EA1AB1">
            <w:pPr>
              <w:adjustRightInd w:val="0"/>
              <w:snapToGrid w:val="0"/>
              <w:ind w:firstLineChars="0" w:firstLine="0"/>
              <w:jc w:val="both"/>
              <w:rPr>
                <w:rFonts w:cs="Times New Roman"/>
                <w:color w:val="000000"/>
                <w:szCs w:val="21"/>
              </w:rPr>
            </w:pPr>
            <w:r>
              <w:rPr>
                <w:rFonts w:cs="Times New Roman"/>
                <w:color w:val="000000"/>
                <w:szCs w:val="21"/>
              </w:rPr>
              <w:t>注：</w:t>
            </w:r>
            <w:r>
              <w:rPr>
                <w:rFonts w:cs="Times New Roman"/>
                <w:color w:val="000000"/>
                <w:szCs w:val="21"/>
              </w:rPr>
              <w:t>1.</w:t>
            </w:r>
            <w:r>
              <w:rPr>
                <w:rFonts w:cs="Times New Roman"/>
                <w:color w:val="000000"/>
                <w:szCs w:val="21"/>
              </w:rPr>
              <w:t>若样品中检出本标准举例范围外的残留溶剂，其特征离子可参考国内外相关文献确定。</w:t>
            </w:r>
          </w:p>
          <w:p w14:paraId="660E898D" w14:textId="77777777" w:rsidR="00E60817" w:rsidRDefault="00E60817" w:rsidP="00EA1AB1">
            <w:pPr>
              <w:adjustRightInd w:val="0"/>
              <w:snapToGrid w:val="0"/>
              <w:ind w:firstLineChars="0" w:firstLine="0"/>
              <w:jc w:val="both"/>
              <w:rPr>
                <w:rFonts w:cs="Times New Roman"/>
                <w:color w:val="000000"/>
                <w:sz w:val="24"/>
                <w:szCs w:val="24"/>
              </w:rPr>
            </w:pPr>
            <w:r>
              <w:rPr>
                <w:rFonts w:cs="Times New Roman"/>
                <w:color w:val="000000"/>
                <w:szCs w:val="24"/>
              </w:rPr>
              <w:t>2.</w:t>
            </w:r>
            <w:r>
              <w:rPr>
                <w:rFonts w:cs="Times New Roman"/>
                <w:color w:val="000000"/>
                <w:szCs w:val="24"/>
              </w:rPr>
              <w:t>本表中列出的保留时间为参考值，具体实验应以对照品的保留时间为准。</w:t>
            </w:r>
          </w:p>
        </w:tc>
        <w:bookmarkStart w:id="2" w:name="_GoBack"/>
        <w:bookmarkEnd w:id="2"/>
      </w:tr>
    </w:tbl>
    <w:p w14:paraId="7DE12560" w14:textId="77777777" w:rsidR="00EA1AB1" w:rsidRDefault="00EA1AB1" w:rsidP="00E60817">
      <w:pPr>
        <w:suppressLineNumbers/>
        <w:adjustRightInd w:val="0"/>
        <w:snapToGrid w:val="0"/>
        <w:ind w:firstLineChars="0" w:firstLine="0"/>
        <w:jc w:val="both"/>
        <w:rPr>
          <w:rFonts w:cs="Times New Roman" w:hint="eastAsia"/>
          <w:szCs w:val="21"/>
        </w:rPr>
        <w:sectPr w:rsidR="00EA1AB1" w:rsidSect="00EA1AB1">
          <w:pgSz w:w="11906" w:h="16838"/>
          <w:pgMar w:top="1440" w:right="1797" w:bottom="1440" w:left="1797" w:header="851" w:footer="992" w:gutter="0"/>
          <w:cols w:space="425"/>
          <w:docGrid w:type="linesAndChars" w:linePitch="312"/>
        </w:sectPr>
      </w:pPr>
    </w:p>
    <w:p w14:paraId="18EF6CAE" w14:textId="1CDA4DA3" w:rsidR="00E60817" w:rsidRDefault="00E60817" w:rsidP="00E60817">
      <w:pPr>
        <w:suppressLineNumbers/>
        <w:adjustRightInd w:val="0"/>
        <w:snapToGrid w:val="0"/>
        <w:ind w:firstLineChars="0" w:firstLine="0"/>
        <w:jc w:val="both"/>
        <w:rPr>
          <w:rFonts w:cs="Times New Roman" w:hint="eastAsia"/>
          <w:szCs w:val="21"/>
        </w:rPr>
      </w:pPr>
      <w:r>
        <w:rPr>
          <w:rFonts w:cs="Times New Roman"/>
          <w:noProof/>
          <w:sz w:val="24"/>
          <w:szCs w:val="24"/>
        </w:rPr>
        <w:lastRenderedPageBreak/>
        <mc:AlternateContent>
          <mc:Choice Requires="wps">
            <w:drawing>
              <wp:anchor distT="4294967295" distB="4294967295" distL="114300" distR="114300" simplePos="0" relativeHeight="251658752" behindDoc="0" locked="0" layoutInCell="1" allowOverlap="1" wp14:anchorId="16819D65" wp14:editId="1D7C5682">
                <wp:simplePos x="0" y="0"/>
                <wp:positionH relativeFrom="column">
                  <wp:posOffset>-32385</wp:posOffset>
                </wp:positionH>
                <wp:positionV relativeFrom="paragraph">
                  <wp:posOffset>311784</wp:posOffset>
                </wp:positionV>
                <wp:extent cx="5398770" cy="0"/>
                <wp:effectExtent l="0" t="0" r="0" b="0"/>
                <wp:wrapNone/>
                <wp:docPr id="1987202550"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8770" cy="0"/>
                        </a:xfrm>
                        <a:prstGeom prst="line">
                          <a:avLst/>
                        </a:prstGeom>
                        <a:ln w="12700">
                          <a:solidFill>
                            <a:srgbClr val="002060"/>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D5771E" id="直接连接符 1" o:spid="_x0000_s1026" style="position:absolute;left:0;text-align:left;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5pt,24.55pt" to="422.5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" strokecolor="#002060" strokeweight="1pt">
                <v:stroke joinstyle="miter"/>
                <o:lock v:ext="edit" shapetype="f"/>
              </v:line>
            </w:pict>
          </mc:Fallback>
        </mc:AlternateContent>
      </w:r>
    </w:p>
    <w:p w14:paraId="3429133F" w14:textId="77777777" w:rsidR="00E60817" w:rsidRDefault="00E60817" w:rsidP="00E60817">
      <w:pPr>
        <w:suppressLineNumbers/>
        <w:adjustRightInd w:val="0"/>
        <w:snapToGrid w:val="0"/>
        <w:ind w:firstLineChars="0" w:firstLine="0"/>
        <w:jc w:val="both"/>
        <w:rPr>
          <w:rFonts w:cs="Times New Roman"/>
          <w:szCs w:val="21"/>
        </w:rPr>
      </w:pPr>
    </w:p>
    <w:p w14:paraId="26D42F08" w14:textId="57CAFB99" w:rsidR="00E60817" w:rsidRDefault="00E60817" w:rsidP="00E60817">
      <w:pPr>
        <w:suppressLineNumbers/>
        <w:adjustRightInd w:val="0"/>
        <w:snapToGrid w:val="0"/>
        <w:ind w:firstLineChars="0" w:firstLine="0"/>
        <w:rPr>
          <w:rFonts w:cs="Times New Roman"/>
          <w:szCs w:val="21"/>
        </w:rPr>
      </w:pPr>
      <w:r>
        <w:rPr>
          <w:rFonts w:cs="Times New Roman"/>
          <w:szCs w:val="21"/>
        </w:rPr>
        <w:t>起草单位：中国食品药品检定研究院</w:t>
      </w:r>
      <w:r w:rsidR="00A6179F">
        <w:rPr>
          <w:rFonts w:cs="Times New Roman" w:hint="eastAsia"/>
          <w:szCs w:val="21"/>
        </w:rPr>
        <w:t xml:space="preserve"> </w:t>
      </w:r>
      <w:r w:rsidR="00A6179F">
        <w:rPr>
          <w:rFonts w:cs="Times New Roman"/>
          <w:szCs w:val="21"/>
        </w:rPr>
        <w:t xml:space="preserve">                            </w:t>
      </w:r>
      <w:r>
        <w:rPr>
          <w:rFonts w:cs="Times New Roman"/>
          <w:szCs w:val="21"/>
        </w:rPr>
        <w:t>联系电话：</w:t>
      </w:r>
      <w:r>
        <w:rPr>
          <w:rFonts w:cs="Times New Roman"/>
          <w:szCs w:val="21"/>
        </w:rPr>
        <w:t>6709 5095</w:t>
      </w:r>
    </w:p>
    <w:p w14:paraId="4398B506" w14:textId="54657195" w:rsidR="00E82EE0" w:rsidRDefault="00E60817" w:rsidP="00E60817">
      <w:pPr>
        <w:suppressLineNumbers/>
        <w:adjustRightInd w:val="0"/>
        <w:snapToGrid w:val="0"/>
        <w:ind w:firstLineChars="0" w:firstLine="0"/>
        <w:jc w:val="both"/>
        <w:rPr>
          <w:rFonts w:cs="Times New Roman"/>
          <w:szCs w:val="21"/>
        </w:rPr>
      </w:pPr>
      <w:r>
        <w:rPr>
          <w:rFonts w:cs="Times New Roman"/>
          <w:szCs w:val="21"/>
        </w:rPr>
        <w:t>参与单位：江西省药品检验检测研究院</w:t>
      </w:r>
    </w:p>
    <w:p w14:paraId="46505604" w14:textId="77777777" w:rsidR="005F0D17" w:rsidRDefault="005F0D17" w:rsidP="005F0D17">
      <w:pPr>
        <w:widowControl w:val="0"/>
        <w:adjustRightInd w:val="0"/>
        <w:snapToGrid w:val="0"/>
        <w:ind w:firstLineChars="0" w:firstLine="0"/>
        <w:jc w:val="center"/>
        <w:rPr>
          <w:rFonts w:cs="Times New Roman"/>
          <w:b/>
          <w:bCs/>
          <w:kern w:val="2"/>
          <w:sz w:val="24"/>
          <w:szCs w:val="24"/>
        </w:rPr>
      </w:pPr>
    </w:p>
    <w:p w14:paraId="0F3823DB" w14:textId="7AD7DD43" w:rsidR="00E82EE0" w:rsidRDefault="00E82EE0" w:rsidP="005F0D17">
      <w:pPr>
        <w:widowControl w:val="0"/>
        <w:adjustRightInd w:val="0"/>
        <w:snapToGrid w:val="0"/>
        <w:ind w:firstLineChars="0" w:firstLine="0"/>
        <w:jc w:val="center"/>
        <w:rPr>
          <w:rFonts w:cs="Times New Roman"/>
          <w:b/>
          <w:bCs/>
          <w:kern w:val="2"/>
          <w:sz w:val="24"/>
          <w:szCs w:val="24"/>
        </w:rPr>
      </w:pPr>
      <w:r>
        <w:rPr>
          <w:rFonts w:cs="Times New Roman" w:hint="eastAsia"/>
          <w:b/>
          <w:bCs/>
          <w:kern w:val="2"/>
          <w:sz w:val="24"/>
          <w:szCs w:val="24"/>
        </w:rPr>
        <w:t>药包材溶剂残留量</w:t>
      </w:r>
      <w:r>
        <w:rPr>
          <w:rFonts w:cs="Times New Roman"/>
          <w:b/>
          <w:bCs/>
          <w:kern w:val="2"/>
          <w:sz w:val="24"/>
          <w:szCs w:val="24"/>
        </w:rPr>
        <w:t>测定法起草说明</w:t>
      </w:r>
    </w:p>
    <w:p w14:paraId="77C431B1" w14:textId="77777777" w:rsidR="00E82EE0" w:rsidRDefault="00E82EE0" w:rsidP="00E82EE0">
      <w:pPr>
        <w:pStyle w:val="aa"/>
        <w:tabs>
          <w:tab w:val="left" w:pos="1338"/>
        </w:tabs>
        <w:adjustRightInd w:val="0"/>
        <w:snapToGrid w:val="0"/>
        <w:ind w:firstLine="422"/>
        <w:jc w:val="both"/>
        <w:rPr>
          <w:rFonts w:ascii="Times New Roman" w:hAnsi="Times New Roman" w:cs="Times New Roman"/>
          <w:b/>
          <w:bCs/>
          <w:sz w:val="21"/>
          <w:szCs w:val="21"/>
        </w:rPr>
      </w:pPr>
      <w:r>
        <w:rPr>
          <w:rFonts w:ascii="Times New Roman" w:hAnsi="Times New Roman" w:cs="Times New Roman"/>
          <w:b/>
          <w:bCs/>
          <w:sz w:val="21"/>
          <w:szCs w:val="21"/>
        </w:rPr>
        <w:t>一、制修订的目的意义</w:t>
      </w:r>
    </w:p>
    <w:p w14:paraId="3CB348CA" w14:textId="77777777" w:rsidR="00E82EE0" w:rsidRDefault="00E82EE0" w:rsidP="00E82EE0">
      <w:pPr>
        <w:pStyle w:val="aa"/>
        <w:adjustRightInd w:val="0"/>
        <w:snapToGrid w:val="0"/>
        <w:ind w:firstLine="420"/>
        <w:jc w:val="both"/>
        <w:rPr>
          <w:rFonts w:ascii="Times New Roman" w:hAnsi="Times New Roman" w:cs="Times New Roman"/>
          <w:sz w:val="21"/>
          <w:szCs w:val="21"/>
        </w:rPr>
      </w:pPr>
      <w:r>
        <w:rPr>
          <w:rFonts w:ascii="Times New Roman" w:hAnsi="Times New Roman" w:cs="Times New Roman"/>
          <w:sz w:val="21"/>
          <w:szCs w:val="21"/>
        </w:rPr>
        <w:t>药用复合膜、复合硬片是应用广泛的药包材，溶剂残留量是复合膜、复合硬片中一项重要的安全性质量控制指标。在复合膜和复合硬片的生产过程中会用到粘合剂和油墨印刷，都会引入有机溶剂，它们对人体都有不同程度的毒性，但在生产过程中不能完全除去。在终产品中就需要对溶剂的残留进行限度控制，以免影响到包装药物的安全性。</w:t>
      </w:r>
    </w:p>
    <w:p w14:paraId="44FC4007" w14:textId="77777777" w:rsidR="00E82EE0" w:rsidRDefault="00E82EE0" w:rsidP="00E82EE0">
      <w:pPr>
        <w:pStyle w:val="aa"/>
        <w:adjustRightInd w:val="0"/>
        <w:snapToGrid w:val="0"/>
        <w:ind w:firstLine="420"/>
        <w:jc w:val="both"/>
        <w:rPr>
          <w:rFonts w:ascii="Times New Roman" w:hAnsi="Times New Roman" w:cs="Times New Roman"/>
          <w:sz w:val="21"/>
          <w:szCs w:val="21"/>
        </w:rPr>
      </w:pPr>
      <w:r>
        <w:rPr>
          <w:rFonts w:ascii="Times New Roman" w:hAnsi="Times New Roman" w:cs="Times New Roman"/>
          <w:sz w:val="21"/>
          <w:szCs w:val="21"/>
        </w:rPr>
        <w:t>《国家药包材标准》中有收载，但该方法标准在标准的样品处理、系统适应性、定性能力和具体测定方法步骤等方面都亟待提高。</w:t>
      </w:r>
    </w:p>
    <w:p w14:paraId="1C3133CC" w14:textId="77777777" w:rsidR="00E82EE0" w:rsidRDefault="00E82EE0" w:rsidP="00E82EE0">
      <w:pPr>
        <w:pStyle w:val="aa"/>
        <w:adjustRightInd w:val="0"/>
        <w:snapToGrid w:val="0"/>
        <w:ind w:firstLine="422"/>
        <w:jc w:val="both"/>
        <w:rPr>
          <w:rFonts w:ascii="Times New Roman" w:hAnsi="Times New Roman" w:cs="Times New Roman"/>
          <w:b/>
          <w:bCs/>
          <w:sz w:val="21"/>
          <w:szCs w:val="21"/>
        </w:rPr>
      </w:pPr>
      <w:r>
        <w:rPr>
          <w:rFonts w:ascii="Times New Roman" w:hAnsi="Times New Roman" w:cs="Times New Roman"/>
          <w:b/>
          <w:bCs/>
          <w:sz w:val="21"/>
          <w:szCs w:val="21"/>
        </w:rPr>
        <w:t>二、</w:t>
      </w:r>
      <w:r>
        <w:rPr>
          <w:rFonts w:ascii="Times New Roman" w:hAnsi="Times New Roman" w:cs="Times New Roman" w:hint="eastAsia"/>
          <w:b/>
          <w:bCs/>
          <w:sz w:val="21"/>
          <w:szCs w:val="21"/>
        </w:rPr>
        <w:t>参考标准</w:t>
      </w:r>
    </w:p>
    <w:p w14:paraId="269CD820" w14:textId="77777777" w:rsidR="00E82EE0" w:rsidRDefault="00E82EE0" w:rsidP="00E82EE0">
      <w:pPr>
        <w:pStyle w:val="aa"/>
        <w:adjustRightInd w:val="0"/>
        <w:snapToGrid w:val="0"/>
        <w:ind w:firstLine="420"/>
        <w:jc w:val="both"/>
        <w:rPr>
          <w:rFonts w:ascii="Times New Roman" w:hAnsi="Times New Roman" w:cs="Times New Roman"/>
          <w:sz w:val="21"/>
          <w:szCs w:val="21"/>
        </w:rPr>
      </w:pPr>
      <w:r>
        <w:rPr>
          <w:rFonts w:ascii="Times New Roman" w:hAnsi="Times New Roman" w:cs="Times New Roman"/>
          <w:sz w:val="21"/>
          <w:szCs w:val="21"/>
        </w:rPr>
        <w:t>参考</w:t>
      </w:r>
      <w:r>
        <w:rPr>
          <w:rFonts w:ascii="Times New Roman" w:hAnsi="Times New Roman" w:cs="Times New Roman"/>
          <w:kern w:val="2"/>
          <w:sz w:val="21"/>
          <w:szCs w:val="21"/>
        </w:rPr>
        <w:t>《国家药包材标准》</w:t>
      </w:r>
      <w:r>
        <w:rPr>
          <w:rFonts w:ascii="Times New Roman" w:hAnsi="Times New Roman" w:cs="Times New Roman" w:hint="eastAsia"/>
          <w:kern w:val="2"/>
          <w:sz w:val="21"/>
          <w:szCs w:val="21"/>
        </w:rPr>
        <w:t>中</w:t>
      </w:r>
      <w:r>
        <w:rPr>
          <w:rFonts w:ascii="Times New Roman" w:hAnsi="Times New Roman" w:cs="Times New Roman"/>
          <w:sz w:val="21"/>
          <w:szCs w:val="21"/>
        </w:rPr>
        <w:t>《包装材料溶剂残留量测定法》（</w:t>
      </w:r>
      <w:r>
        <w:rPr>
          <w:rFonts w:ascii="Times New Roman" w:hAnsi="Times New Roman" w:cs="Times New Roman"/>
          <w:sz w:val="21"/>
          <w:szCs w:val="21"/>
        </w:rPr>
        <w:t>YBB00312004-2015</w:t>
      </w:r>
      <w:r>
        <w:rPr>
          <w:rFonts w:ascii="Times New Roman" w:hAnsi="Times New Roman" w:cs="Times New Roman"/>
          <w:sz w:val="21"/>
          <w:szCs w:val="21"/>
        </w:rPr>
        <w:t>）</w:t>
      </w:r>
      <w:r>
        <w:rPr>
          <w:rFonts w:ascii="Times New Roman" w:hAnsi="Times New Roman" w:cs="Times New Roman"/>
          <w:kern w:val="2"/>
          <w:sz w:val="21"/>
          <w:szCs w:val="21"/>
        </w:rPr>
        <w:t>、国家标准《包装用塑料复合膜、袋</w:t>
      </w:r>
      <w:r>
        <w:rPr>
          <w:rFonts w:ascii="Times New Roman" w:hAnsi="Times New Roman" w:cs="Times New Roman"/>
          <w:kern w:val="2"/>
          <w:sz w:val="21"/>
          <w:szCs w:val="21"/>
        </w:rPr>
        <w:t xml:space="preserve"> </w:t>
      </w:r>
      <w:r>
        <w:rPr>
          <w:rFonts w:ascii="Times New Roman" w:hAnsi="Times New Roman" w:cs="Times New Roman"/>
          <w:kern w:val="2"/>
          <w:sz w:val="21"/>
          <w:szCs w:val="21"/>
        </w:rPr>
        <w:t>干法复合、挤出复合》（</w:t>
      </w:r>
      <w:r>
        <w:rPr>
          <w:rFonts w:ascii="Times New Roman" w:hAnsi="Times New Roman" w:cs="Times New Roman"/>
          <w:kern w:val="2"/>
          <w:sz w:val="21"/>
          <w:szCs w:val="21"/>
        </w:rPr>
        <w:t>GB10004-2008</w:t>
      </w:r>
      <w:r>
        <w:rPr>
          <w:rFonts w:ascii="Times New Roman" w:hAnsi="Times New Roman" w:cs="Times New Roman"/>
          <w:kern w:val="2"/>
          <w:sz w:val="21"/>
          <w:szCs w:val="21"/>
        </w:rPr>
        <w:t>）、烟草行业标准《卷烟条与盒包装纸中挥发性有机物的限量》</w:t>
      </w:r>
      <w:r>
        <w:rPr>
          <w:rFonts w:ascii="Times New Roman" w:hAnsi="Times New Roman" w:cs="Times New Roman"/>
          <w:kern w:val="2"/>
          <w:sz w:val="21"/>
          <w:szCs w:val="21"/>
        </w:rPr>
        <w:t>(YC 263-2008)</w:t>
      </w:r>
      <w:r>
        <w:rPr>
          <w:rFonts w:ascii="Times New Roman" w:hAnsi="Times New Roman" w:cs="Times New Roman"/>
          <w:kern w:val="2"/>
          <w:sz w:val="21"/>
          <w:szCs w:val="21"/>
        </w:rPr>
        <w:t>、欧洲包装标准包装</w:t>
      </w:r>
      <w:r>
        <w:rPr>
          <w:rFonts w:ascii="Times New Roman" w:hAnsi="Times New Roman" w:cs="Times New Roman"/>
          <w:kern w:val="2"/>
          <w:sz w:val="21"/>
          <w:szCs w:val="21"/>
        </w:rPr>
        <w:t xml:space="preserve"> </w:t>
      </w:r>
      <w:r>
        <w:rPr>
          <w:rFonts w:ascii="Times New Roman" w:hAnsi="Times New Roman" w:cs="Times New Roman"/>
          <w:kern w:val="2"/>
          <w:sz w:val="21"/>
          <w:szCs w:val="21"/>
        </w:rPr>
        <w:t>挠性包装材料</w:t>
      </w:r>
      <w:r>
        <w:rPr>
          <w:rFonts w:ascii="Times New Roman" w:hAnsi="Times New Roman" w:cs="Times New Roman"/>
          <w:kern w:val="2"/>
          <w:sz w:val="21"/>
          <w:szCs w:val="21"/>
        </w:rPr>
        <w:t xml:space="preserve"> </w:t>
      </w:r>
      <w:r>
        <w:rPr>
          <w:rFonts w:ascii="Times New Roman" w:hAnsi="Times New Roman" w:cs="Times New Roman"/>
          <w:kern w:val="2"/>
          <w:sz w:val="21"/>
          <w:szCs w:val="21"/>
        </w:rPr>
        <w:t>用静态净空气相色谱法测定残余溶剂（</w:t>
      </w:r>
      <w:r>
        <w:rPr>
          <w:rFonts w:ascii="Times New Roman" w:hAnsi="Times New Roman" w:cs="Times New Roman"/>
          <w:kern w:val="2"/>
          <w:sz w:val="21"/>
          <w:szCs w:val="21"/>
        </w:rPr>
        <w:t>EN 13628-1-2002</w:t>
      </w:r>
      <w:r>
        <w:rPr>
          <w:rFonts w:ascii="Times New Roman" w:hAnsi="Times New Roman" w:cs="Times New Roman"/>
          <w:kern w:val="2"/>
          <w:sz w:val="21"/>
          <w:szCs w:val="21"/>
        </w:rPr>
        <w:t>）等标准中的相关内容</w:t>
      </w:r>
      <w:r>
        <w:rPr>
          <w:rFonts w:ascii="Times New Roman" w:hAnsi="Times New Roman" w:cs="Times New Roman"/>
          <w:sz w:val="21"/>
          <w:szCs w:val="21"/>
        </w:rPr>
        <w:t>，结合实验研究结果和在日常试验时存在的问题，制定本测定法。</w:t>
      </w:r>
    </w:p>
    <w:p w14:paraId="6A1C143F" w14:textId="77777777" w:rsidR="00E82EE0" w:rsidRDefault="00E82EE0" w:rsidP="00E82EE0">
      <w:pPr>
        <w:pStyle w:val="aa"/>
        <w:adjustRightInd w:val="0"/>
        <w:snapToGrid w:val="0"/>
        <w:ind w:firstLine="422"/>
        <w:jc w:val="both"/>
        <w:rPr>
          <w:rFonts w:ascii="Times New Roman" w:hAnsi="Times New Roman" w:cs="Times New Roman"/>
          <w:b/>
          <w:bCs/>
          <w:sz w:val="21"/>
          <w:szCs w:val="21"/>
        </w:rPr>
      </w:pPr>
      <w:r>
        <w:rPr>
          <w:rFonts w:ascii="Times New Roman" w:hAnsi="Times New Roman" w:cs="Times New Roman"/>
          <w:b/>
          <w:bCs/>
          <w:sz w:val="21"/>
          <w:szCs w:val="21"/>
        </w:rPr>
        <w:t>三、需重点说明的问题</w:t>
      </w:r>
    </w:p>
    <w:p w14:paraId="52419FCF" w14:textId="77777777" w:rsidR="00E82EE0" w:rsidRDefault="00E82EE0" w:rsidP="00E82EE0">
      <w:pPr>
        <w:pStyle w:val="aa"/>
        <w:adjustRightInd w:val="0"/>
        <w:snapToGrid w:val="0"/>
        <w:ind w:firstLine="420"/>
        <w:jc w:val="both"/>
        <w:rPr>
          <w:rFonts w:hAnsi="宋体" w:cs="Times New Roman"/>
          <w:sz w:val="21"/>
          <w:szCs w:val="21"/>
        </w:rPr>
      </w:pPr>
      <w:r>
        <w:rPr>
          <w:rFonts w:hAnsi="宋体" w:cs="Times New Roman"/>
          <w:sz w:val="21"/>
          <w:szCs w:val="21"/>
        </w:rPr>
        <w:t>1.溶剂种类举例：通过对产品工艺的调研和日常检验的积累，溶剂举例中新增</w:t>
      </w:r>
      <w:r>
        <w:rPr>
          <w:rFonts w:ascii="Times New Roman" w:hAnsi="Times New Roman" w:cs="Times New Roman"/>
          <w:sz w:val="21"/>
          <w:szCs w:val="21"/>
        </w:rPr>
        <w:t>了</w:t>
      </w:r>
      <w:r>
        <w:rPr>
          <w:rFonts w:ascii="Times New Roman" w:hAnsi="Times New Roman" w:cs="Times New Roman"/>
          <w:sz w:val="21"/>
          <w:szCs w:val="21"/>
        </w:rPr>
        <w:t>4</w:t>
      </w:r>
      <w:r>
        <w:rPr>
          <w:rFonts w:hAnsi="宋体" w:cs="Times New Roman"/>
          <w:sz w:val="21"/>
          <w:szCs w:val="21"/>
        </w:rPr>
        <w:t>个溶剂。分别是乙醇、正丁醇、乙酸丙酯、乙酸异丁酯。同时强调“需要检测的溶剂种类，应根据产品配方工艺特点确定，不仅局限本标准中举例的溶剂。”。</w:t>
      </w:r>
    </w:p>
    <w:p w14:paraId="3A9CA9C2" w14:textId="77777777" w:rsidR="00E82EE0" w:rsidRDefault="00E82EE0" w:rsidP="00E82EE0">
      <w:pPr>
        <w:pStyle w:val="aa"/>
        <w:adjustRightInd w:val="0"/>
        <w:snapToGrid w:val="0"/>
        <w:ind w:firstLine="420"/>
        <w:jc w:val="both"/>
        <w:rPr>
          <w:rFonts w:hAnsi="宋体" w:cs="Times New Roman"/>
          <w:kern w:val="2"/>
          <w:sz w:val="21"/>
          <w:szCs w:val="21"/>
        </w:rPr>
      </w:pPr>
      <w:r>
        <w:rPr>
          <w:rFonts w:ascii="Times New Roman" w:hAnsi="Times New Roman" w:cs="Times New Roman"/>
          <w:sz w:val="21"/>
          <w:szCs w:val="21"/>
        </w:rPr>
        <w:t xml:space="preserve">2. </w:t>
      </w:r>
      <w:r>
        <w:rPr>
          <w:rFonts w:ascii="Times New Roman" w:hAnsi="Times New Roman" w:cs="Times New Roman"/>
          <w:sz w:val="21"/>
          <w:szCs w:val="21"/>
        </w:rPr>
        <w:t>增加第三法：针对原标准定性能力不足，尤其是苯及苯类的定性</w:t>
      </w:r>
      <w:r>
        <w:rPr>
          <w:rFonts w:ascii="Times New Roman" w:hAnsi="Times New Roman" w:cs="Times New Roman"/>
          <w:kern w:val="2"/>
          <w:sz w:val="21"/>
          <w:szCs w:val="21"/>
        </w:rPr>
        <w:t>，建立第三法气质联用色谱法，同时将溶剂保留时间、选择性离子参考值以表格形式列出。并规定</w:t>
      </w:r>
      <w:r>
        <w:rPr>
          <w:rFonts w:hAnsi="宋体" w:cs="Times New Roman"/>
          <w:kern w:val="2"/>
          <w:sz w:val="21"/>
          <w:szCs w:val="21"/>
        </w:rPr>
        <w:t>“</w:t>
      </w:r>
      <w:r>
        <w:rPr>
          <w:rFonts w:hAnsi="宋体" w:cs="Times New Roman"/>
          <w:color w:val="000000"/>
          <w:sz w:val="21"/>
          <w:szCs w:val="21"/>
        </w:rPr>
        <w:t>当用第一法和第二法测定样品中除苯及苯类之外的溶剂不符合规定时，可以参照第三法中色谱条件进行定性验证</w:t>
      </w:r>
      <w:r>
        <w:rPr>
          <w:rFonts w:hAnsi="宋体" w:cs="Times New Roman"/>
          <w:kern w:val="2"/>
          <w:sz w:val="21"/>
          <w:szCs w:val="21"/>
        </w:rPr>
        <w:t>”。</w:t>
      </w:r>
    </w:p>
    <w:p w14:paraId="27293DFC" w14:textId="77777777" w:rsidR="00E82EE0" w:rsidRDefault="00E82EE0" w:rsidP="00E82EE0">
      <w:pPr>
        <w:pStyle w:val="aa"/>
        <w:adjustRightInd w:val="0"/>
        <w:snapToGrid w:val="0"/>
        <w:ind w:firstLine="420"/>
        <w:jc w:val="both"/>
        <w:rPr>
          <w:rFonts w:ascii="Times New Roman" w:hAnsi="Times New Roman" w:cs="Times New Roman"/>
          <w:sz w:val="21"/>
          <w:szCs w:val="21"/>
        </w:rPr>
      </w:pPr>
      <w:r>
        <w:rPr>
          <w:rFonts w:ascii="Times New Roman" w:hAnsi="Times New Roman" w:cs="Times New Roman"/>
          <w:sz w:val="21"/>
          <w:szCs w:val="21"/>
        </w:rPr>
        <w:t xml:space="preserve">3. </w:t>
      </w:r>
      <w:r>
        <w:rPr>
          <w:rFonts w:ascii="Times New Roman" w:hAnsi="Times New Roman" w:cs="Times New Roman"/>
          <w:sz w:val="21"/>
          <w:szCs w:val="21"/>
        </w:rPr>
        <w:t>供试品制备：在《国家药包材标准》中，虽然不同类型的品种表述略有不同，但它表达的制样方式是相同的，</w:t>
      </w:r>
      <w:r>
        <w:rPr>
          <w:rFonts w:hAnsi="宋体" w:cs="Times New Roman"/>
          <w:sz w:val="21"/>
          <w:szCs w:val="21"/>
        </w:rPr>
        <w:t>即“</w:t>
      </w:r>
      <w:r>
        <w:rPr>
          <w:rFonts w:ascii="Times New Roman" w:hAnsi="Times New Roman" w:cs="Times New Roman"/>
          <w:sz w:val="21"/>
          <w:szCs w:val="21"/>
        </w:rPr>
        <w:t>取内表面为</w:t>
      </w:r>
      <w:r>
        <w:rPr>
          <w:rFonts w:ascii="Times New Roman" w:hAnsi="Times New Roman" w:cs="Times New Roman"/>
          <w:sz w:val="21"/>
          <w:szCs w:val="21"/>
        </w:rPr>
        <w:t>200cm</w:t>
      </w:r>
      <w:r>
        <w:rPr>
          <w:rFonts w:ascii="Times New Roman" w:hAnsi="Times New Roman" w:cs="Times New Roman"/>
          <w:sz w:val="21"/>
          <w:szCs w:val="21"/>
          <w:vertAlign w:val="superscript"/>
        </w:rPr>
        <w:t>2</w:t>
      </w:r>
      <w:r>
        <w:rPr>
          <w:rFonts w:ascii="Times New Roman" w:hAnsi="Times New Roman" w:cs="Times New Roman"/>
          <w:sz w:val="21"/>
          <w:szCs w:val="21"/>
        </w:rPr>
        <w:t>的样品，剪成</w:t>
      </w:r>
      <w:r>
        <w:rPr>
          <w:rFonts w:ascii="Times New Roman" w:hAnsi="Times New Roman" w:cs="Times New Roman"/>
          <w:sz w:val="21"/>
          <w:szCs w:val="21"/>
        </w:rPr>
        <w:t>1cm×3cm</w:t>
      </w:r>
      <w:r>
        <w:rPr>
          <w:rFonts w:ascii="Times New Roman" w:hAnsi="Times New Roman" w:cs="Times New Roman"/>
          <w:sz w:val="21"/>
          <w:szCs w:val="21"/>
        </w:rPr>
        <w:t>大小</w:t>
      </w:r>
      <w:r>
        <w:rPr>
          <w:rFonts w:hAnsi="宋体" w:cs="Times New Roman"/>
          <w:sz w:val="21"/>
          <w:szCs w:val="21"/>
        </w:rPr>
        <w:t>。”即“</w:t>
      </w:r>
      <w:r>
        <w:rPr>
          <w:rFonts w:ascii="Times New Roman" w:hAnsi="Times New Roman" w:cs="Times New Roman"/>
          <w:sz w:val="21"/>
          <w:szCs w:val="21"/>
        </w:rPr>
        <w:t>取内表面为</w:t>
      </w:r>
      <w:r>
        <w:rPr>
          <w:rFonts w:ascii="Times New Roman" w:hAnsi="Times New Roman" w:cs="Times New Roman"/>
          <w:sz w:val="21"/>
          <w:szCs w:val="21"/>
        </w:rPr>
        <w:t>200cm</w:t>
      </w:r>
      <w:r>
        <w:rPr>
          <w:rFonts w:ascii="Times New Roman" w:hAnsi="Times New Roman" w:cs="Times New Roman"/>
          <w:sz w:val="21"/>
          <w:szCs w:val="21"/>
          <w:vertAlign w:val="superscript"/>
        </w:rPr>
        <w:t>2</w:t>
      </w:r>
      <w:r>
        <w:rPr>
          <w:rFonts w:ascii="Times New Roman" w:hAnsi="Times New Roman" w:cs="Times New Roman"/>
          <w:sz w:val="21"/>
          <w:szCs w:val="21"/>
        </w:rPr>
        <w:t>的样品，剪成</w:t>
      </w:r>
      <w:r>
        <w:rPr>
          <w:rFonts w:ascii="Times New Roman" w:hAnsi="Times New Roman" w:cs="Times New Roman"/>
          <w:sz w:val="21"/>
          <w:szCs w:val="21"/>
        </w:rPr>
        <w:t>1cm×3cm</w:t>
      </w:r>
      <w:r>
        <w:rPr>
          <w:rFonts w:ascii="Times New Roman" w:hAnsi="Times New Roman" w:cs="Times New Roman"/>
          <w:sz w:val="21"/>
          <w:szCs w:val="21"/>
        </w:rPr>
        <w:t>大小</w:t>
      </w:r>
      <w:r>
        <w:rPr>
          <w:rFonts w:hAnsi="宋体" w:cs="Times New Roman"/>
          <w:sz w:val="21"/>
          <w:szCs w:val="21"/>
        </w:rPr>
        <w:t>。”</w:t>
      </w:r>
      <w:r>
        <w:rPr>
          <w:rFonts w:ascii="Times New Roman" w:hAnsi="Times New Roman" w:cs="Times New Roman"/>
          <w:sz w:val="21"/>
          <w:szCs w:val="21"/>
        </w:rPr>
        <w:t>故在本次修订中加入了</w:t>
      </w:r>
      <w:r>
        <w:rPr>
          <w:rFonts w:hAnsi="宋体" w:cs="Times New Roman"/>
          <w:sz w:val="21"/>
          <w:szCs w:val="21"/>
        </w:rPr>
        <w:t>“取内</w:t>
      </w:r>
      <w:r>
        <w:rPr>
          <w:rFonts w:ascii="Times New Roman" w:hAnsi="Times New Roman" w:cs="Times New Roman"/>
          <w:sz w:val="21"/>
          <w:szCs w:val="21"/>
        </w:rPr>
        <w:t>表面为</w:t>
      </w:r>
      <w:r>
        <w:rPr>
          <w:rFonts w:ascii="Times New Roman" w:hAnsi="Times New Roman" w:cs="Times New Roman"/>
          <w:sz w:val="21"/>
          <w:szCs w:val="21"/>
        </w:rPr>
        <w:t>200cm</w:t>
      </w:r>
      <w:r>
        <w:rPr>
          <w:rFonts w:ascii="Times New Roman" w:hAnsi="Times New Roman" w:cs="Times New Roman"/>
          <w:sz w:val="21"/>
          <w:szCs w:val="21"/>
          <w:vertAlign w:val="superscript"/>
        </w:rPr>
        <w:t>2</w:t>
      </w:r>
      <w:r>
        <w:rPr>
          <w:rFonts w:ascii="Times New Roman" w:hAnsi="Times New Roman" w:cs="Times New Roman"/>
          <w:sz w:val="21"/>
          <w:szCs w:val="21"/>
        </w:rPr>
        <w:t>的</w:t>
      </w:r>
      <w:r>
        <w:rPr>
          <w:rFonts w:hAnsi="宋体" w:cs="Times New Roman"/>
          <w:sz w:val="21"/>
          <w:szCs w:val="21"/>
        </w:rPr>
        <w:t>样品”</w:t>
      </w:r>
      <w:r>
        <w:rPr>
          <w:rFonts w:ascii="Times New Roman" w:hAnsi="Times New Roman" w:cs="Times New Roman"/>
          <w:sz w:val="21"/>
          <w:szCs w:val="21"/>
        </w:rPr>
        <w:t>。</w:t>
      </w:r>
      <w:r>
        <w:rPr>
          <w:rFonts w:hAnsi="宋体" w:cs="Times New Roman"/>
          <w:sz w:val="21"/>
          <w:szCs w:val="21"/>
        </w:rPr>
        <w:t>“固体药用纸袋装硅胶干燥剂”操作稍有不同故单独列</w:t>
      </w:r>
      <w:r>
        <w:rPr>
          <w:rFonts w:ascii="Times New Roman" w:hAnsi="Times New Roman" w:cs="Times New Roman"/>
          <w:sz w:val="21"/>
          <w:szCs w:val="21"/>
        </w:rPr>
        <w:t>出。</w:t>
      </w:r>
    </w:p>
    <w:p w14:paraId="743BC376" w14:textId="4770208D" w:rsidR="00E82EE0" w:rsidRDefault="00E82EE0" w:rsidP="00E82EE0">
      <w:pPr>
        <w:pStyle w:val="aa"/>
        <w:adjustRightInd w:val="0"/>
        <w:snapToGrid w:val="0"/>
        <w:ind w:firstLine="420"/>
        <w:jc w:val="both"/>
        <w:rPr>
          <w:rFonts w:hAnsi="宋体" w:cs="Times New Roman"/>
          <w:sz w:val="21"/>
          <w:szCs w:val="21"/>
        </w:rPr>
      </w:pPr>
      <w:r>
        <w:rPr>
          <w:rFonts w:ascii="Times New Roman" w:hAnsi="Times New Roman" w:cs="Times New Roman"/>
          <w:sz w:val="21"/>
          <w:szCs w:val="21"/>
        </w:rPr>
        <w:t xml:space="preserve">4. </w:t>
      </w:r>
      <w:r>
        <w:rPr>
          <w:rFonts w:ascii="Times New Roman" w:hAnsi="Times New Roman" w:cs="Times New Roman"/>
          <w:sz w:val="21"/>
          <w:szCs w:val="21"/>
        </w:rPr>
        <w:t>对照品溶液的制备：将</w:t>
      </w:r>
      <w:r>
        <w:rPr>
          <w:rFonts w:hAnsi="宋体" w:cs="Times New Roman"/>
          <w:sz w:val="21"/>
          <w:szCs w:val="21"/>
        </w:rPr>
        <w:t>“上述有机溶剂”改为“供试品中含有的有机溶剂”</w:t>
      </w:r>
      <w:r>
        <w:rPr>
          <w:rFonts w:ascii="Times New Roman" w:hAnsi="Times New Roman" w:cs="Times New Roman"/>
          <w:sz w:val="21"/>
          <w:szCs w:val="21"/>
        </w:rPr>
        <w:t>，增加</w:t>
      </w:r>
      <w:r>
        <w:rPr>
          <w:rFonts w:ascii="Times New Roman" w:hAnsi="Times New Roman" w:cs="Times New Roman"/>
          <w:sz w:val="21"/>
          <w:szCs w:val="21"/>
        </w:rPr>
        <w:t>N</w:t>
      </w:r>
      <w:r>
        <w:rPr>
          <w:rFonts w:ascii="Times New Roman" w:hAnsi="Times New Roman" w:cs="Times New Roman" w:hint="eastAsia"/>
          <w:sz w:val="21"/>
          <w:szCs w:val="21"/>
        </w:rPr>
        <w:t>,</w:t>
      </w:r>
      <w:r>
        <w:rPr>
          <w:rFonts w:ascii="Times New Roman" w:hAnsi="Times New Roman" w:cs="Times New Roman"/>
          <w:sz w:val="21"/>
          <w:szCs w:val="21"/>
        </w:rPr>
        <w:t>N-</w:t>
      </w:r>
      <w:r>
        <w:rPr>
          <w:rFonts w:ascii="Times New Roman" w:hAnsi="Times New Roman" w:cs="Times New Roman"/>
          <w:sz w:val="21"/>
          <w:szCs w:val="21"/>
        </w:rPr>
        <w:t>二甲基甲酰胺做为推荐溶剂，增加了第一、二、三法对照品溶液的制备的描述。在第</w:t>
      </w:r>
      <w:r>
        <w:rPr>
          <w:rFonts w:hAnsi="宋体" w:cs="Times New Roman"/>
          <w:sz w:val="21"/>
          <w:szCs w:val="21"/>
        </w:rPr>
        <w:t>一</w:t>
      </w:r>
      <w:r>
        <w:rPr>
          <w:rFonts w:hAnsi="宋体" w:cs="Times New Roman"/>
          <w:sz w:val="21"/>
          <w:szCs w:val="21"/>
        </w:rPr>
        <w:lastRenderedPageBreak/>
        <w:t>法中强调“各对照品组分的质量应与供试品中残留溶剂的质量相近”</w:t>
      </w:r>
      <w:r>
        <w:rPr>
          <w:rFonts w:hAnsi="宋体" w:cs="Times New Roman" w:hint="eastAsia"/>
          <w:sz w:val="21"/>
          <w:szCs w:val="21"/>
        </w:rPr>
        <w:t>。</w:t>
      </w:r>
      <w:r w:rsidR="00684513">
        <w:rPr>
          <w:rFonts w:hAnsi="宋体" w:cs="Times New Roman" w:hint="eastAsia"/>
          <w:sz w:val="21"/>
          <w:szCs w:val="21"/>
        </w:rPr>
        <w:t>同时</w:t>
      </w:r>
      <w:r w:rsidR="00684513" w:rsidRPr="008B595E">
        <w:rPr>
          <w:rFonts w:hAnsi="宋体" w:cs="Times New Roman" w:hint="eastAsia"/>
          <w:sz w:val="21"/>
          <w:szCs w:val="21"/>
        </w:rPr>
        <w:t>为方便实验，增加“对照与供试品中对应的色谱峰面积比值不超过</w:t>
      </w:r>
      <w:r w:rsidR="00684513" w:rsidRPr="008B595E">
        <w:rPr>
          <w:rFonts w:hAnsi="宋体" w:cs="Times New Roman"/>
          <w:sz w:val="21"/>
          <w:szCs w:val="21"/>
        </w:rPr>
        <w:t>2</w:t>
      </w:r>
      <w:r w:rsidR="00684513" w:rsidRPr="008B595E">
        <w:rPr>
          <w:rFonts w:hAnsi="宋体" w:cs="Times New Roman" w:hint="eastAsia"/>
          <w:sz w:val="21"/>
          <w:szCs w:val="21"/>
        </w:rPr>
        <w:t>倍”的规定。</w:t>
      </w:r>
    </w:p>
    <w:p w14:paraId="33C67AAE" w14:textId="6D497FAE" w:rsidR="00E82EE0" w:rsidRDefault="00E82EE0" w:rsidP="00E82EE0">
      <w:pPr>
        <w:pStyle w:val="aa"/>
        <w:adjustRightInd w:val="0"/>
        <w:snapToGrid w:val="0"/>
        <w:ind w:firstLine="420"/>
        <w:jc w:val="both"/>
        <w:rPr>
          <w:rFonts w:ascii="Times New Roman" w:hAnsi="Times New Roman" w:cs="Times New Roman"/>
          <w:sz w:val="21"/>
          <w:szCs w:val="21"/>
        </w:rPr>
      </w:pPr>
      <w:r>
        <w:rPr>
          <w:rFonts w:ascii="Times New Roman" w:hAnsi="Times New Roman" w:cs="Times New Roman"/>
          <w:sz w:val="21"/>
          <w:szCs w:val="21"/>
        </w:rPr>
        <w:t xml:space="preserve">5. </w:t>
      </w:r>
      <w:r>
        <w:rPr>
          <w:rFonts w:ascii="Times New Roman" w:hAnsi="Times New Roman" w:cs="Times New Roman"/>
          <w:sz w:val="21"/>
          <w:szCs w:val="21"/>
        </w:rPr>
        <w:t>色谱条件、色谱柱和系统适应性：按照药典习惯将色谱柱和系统适应性实验内容单独列出；删除填充柱信息；将色谱条件写入各方法下，并</w:t>
      </w:r>
      <w:r>
        <w:rPr>
          <w:rFonts w:hAnsi="宋体" w:cs="Times New Roman"/>
          <w:sz w:val="21"/>
          <w:szCs w:val="21"/>
        </w:rPr>
        <w:t>规定“具体品种的</w:t>
      </w:r>
      <w:r>
        <w:rPr>
          <w:rFonts w:hAnsi="宋体" w:cs="Times New Roman" w:hint="eastAsia"/>
          <w:sz w:val="21"/>
          <w:szCs w:val="21"/>
        </w:rPr>
        <w:t>溶剂残留量</w:t>
      </w:r>
      <w:r>
        <w:rPr>
          <w:rFonts w:hAnsi="宋体" w:cs="Times New Roman"/>
          <w:sz w:val="21"/>
          <w:szCs w:val="21"/>
        </w:rPr>
        <w:t>检查时，可根据该品种项下残留溶剂的种类调整</w:t>
      </w:r>
      <w:r w:rsidR="00150DD2">
        <w:rPr>
          <w:rFonts w:hAnsi="宋体" w:cs="Times New Roman" w:hint="eastAsia"/>
          <w:sz w:val="21"/>
          <w:szCs w:val="21"/>
        </w:rPr>
        <w:t>色谱柱和</w:t>
      </w:r>
      <w:r>
        <w:rPr>
          <w:rFonts w:hAnsi="宋体" w:cs="Times New Roman"/>
          <w:sz w:val="21"/>
          <w:szCs w:val="21"/>
        </w:rPr>
        <w:t>升温程序”</w:t>
      </w:r>
      <w:r>
        <w:rPr>
          <w:rFonts w:ascii="Times New Roman" w:hAnsi="Times New Roman" w:cs="Times New Roman"/>
          <w:sz w:val="21"/>
          <w:szCs w:val="21"/>
        </w:rPr>
        <w:t>。</w:t>
      </w:r>
      <w:r>
        <w:rPr>
          <w:rFonts w:ascii="Times New Roman" w:hAnsi="Times New Roman" w:cs="Times New Roman"/>
          <w:sz w:val="21"/>
          <w:szCs w:val="21"/>
        </w:rPr>
        <w:t xml:space="preserve"> </w:t>
      </w:r>
    </w:p>
    <w:p w14:paraId="605D45F1" w14:textId="77777777" w:rsidR="00E82EE0" w:rsidRDefault="00E82EE0" w:rsidP="00E82EE0">
      <w:pPr>
        <w:pStyle w:val="aa"/>
        <w:adjustRightInd w:val="0"/>
        <w:snapToGrid w:val="0"/>
        <w:ind w:firstLine="420"/>
        <w:jc w:val="both"/>
        <w:rPr>
          <w:rFonts w:ascii="Times New Roman" w:hAnsi="Times New Roman" w:cs="Times New Roman"/>
          <w:sz w:val="21"/>
          <w:szCs w:val="21"/>
        </w:rPr>
      </w:pPr>
      <w:r>
        <w:rPr>
          <w:rFonts w:ascii="Times New Roman" w:hAnsi="Times New Roman" w:cs="Times New Roman"/>
          <w:sz w:val="21"/>
          <w:szCs w:val="21"/>
        </w:rPr>
        <w:t xml:space="preserve">6. </w:t>
      </w:r>
      <w:r>
        <w:rPr>
          <w:rFonts w:ascii="Times New Roman" w:hAnsi="Times New Roman" w:cs="Times New Roman"/>
          <w:sz w:val="21"/>
          <w:szCs w:val="21"/>
        </w:rPr>
        <w:t>第二法中增加了对照连续进样次数、</w:t>
      </w:r>
      <w:r>
        <w:rPr>
          <w:rFonts w:ascii="Times New Roman" w:hAnsi="Times New Roman" w:cs="Times New Roman"/>
          <w:sz w:val="21"/>
          <w:szCs w:val="21"/>
        </w:rPr>
        <w:t>RSD</w:t>
      </w:r>
      <w:r>
        <w:rPr>
          <w:rFonts w:ascii="Times New Roman" w:hAnsi="Times New Roman" w:cs="Times New Roman"/>
          <w:sz w:val="21"/>
          <w:szCs w:val="21"/>
        </w:rPr>
        <w:t>和标准曲线相关系数</w:t>
      </w:r>
      <w:r>
        <w:rPr>
          <w:rFonts w:ascii="Times New Roman" w:hAnsi="Times New Roman" w:cs="Times New Roman"/>
          <w:sz w:val="21"/>
          <w:szCs w:val="21"/>
        </w:rPr>
        <w:t>r</w:t>
      </w:r>
      <w:r>
        <w:rPr>
          <w:rFonts w:ascii="Times New Roman" w:hAnsi="Times New Roman" w:cs="Times New Roman"/>
          <w:sz w:val="21"/>
          <w:szCs w:val="21"/>
        </w:rPr>
        <w:t>的规定。</w:t>
      </w:r>
    </w:p>
    <w:p w14:paraId="71D989C8" w14:textId="5765E314" w:rsidR="00684513" w:rsidRDefault="00684513" w:rsidP="00E82EE0">
      <w:pPr>
        <w:pStyle w:val="aa"/>
        <w:adjustRightInd w:val="0"/>
        <w:snapToGrid w:val="0"/>
        <w:ind w:firstLine="420"/>
        <w:jc w:val="both"/>
        <w:rPr>
          <w:rFonts w:ascii="Times New Roman" w:hAnsi="Times New Roman" w:cs="Times New Roman"/>
          <w:sz w:val="21"/>
          <w:szCs w:val="21"/>
        </w:rPr>
      </w:pPr>
      <w:r>
        <w:rPr>
          <w:rFonts w:ascii="Times New Roman" w:hAnsi="Times New Roman" w:cs="Times New Roman" w:hint="eastAsia"/>
          <w:sz w:val="21"/>
          <w:szCs w:val="21"/>
        </w:rPr>
        <w:t>7</w:t>
      </w:r>
      <w:r>
        <w:rPr>
          <w:rFonts w:ascii="Times New Roman" w:hAnsi="Times New Roman" w:cs="Times New Roman"/>
          <w:sz w:val="21"/>
          <w:szCs w:val="21"/>
        </w:rPr>
        <w:t>.</w:t>
      </w:r>
      <w:r>
        <w:rPr>
          <w:rFonts w:ascii="Times New Roman" w:hAnsi="Times New Roman" w:cs="Times New Roman" w:hint="eastAsia"/>
          <w:sz w:val="21"/>
          <w:szCs w:val="21"/>
        </w:rPr>
        <w:t xml:space="preserve"> </w:t>
      </w:r>
      <w:r>
        <w:rPr>
          <w:rFonts w:ascii="Times New Roman" w:hAnsi="Times New Roman" w:cs="Times New Roman" w:hint="eastAsia"/>
          <w:sz w:val="21"/>
          <w:szCs w:val="21"/>
        </w:rPr>
        <w:t>明确了苯及苯类</w:t>
      </w:r>
      <w:r w:rsidR="0092685C">
        <w:rPr>
          <w:rFonts w:ascii="Times New Roman" w:hAnsi="Times New Roman" w:cs="Times New Roman" w:hint="eastAsia"/>
          <w:sz w:val="21"/>
          <w:szCs w:val="21"/>
        </w:rPr>
        <w:t>的结果判定要求，</w:t>
      </w:r>
      <w:r w:rsidR="0092685C" w:rsidRPr="0092685C">
        <w:rPr>
          <w:rFonts w:ascii="Times New Roman" w:hAnsi="Times New Roman" w:cs="Times New Roman" w:hint="eastAsia"/>
          <w:sz w:val="21"/>
          <w:szCs w:val="21"/>
        </w:rPr>
        <w:t>参考</w:t>
      </w:r>
      <w:r w:rsidR="0092685C" w:rsidRPr="0092685C">
        <w:rPr>
          <w:rFonts w:ascii="Times New Roman" w:hAnsi="Times New Roman" w:cs="Times New Roman" w:hint="eastAsia"/>
          <w:sz w:val="21"/>
          <w:szCs w:val="21"/>
        </w:rPr>
        <w:t>GB10004-2008</w:t>
      </w:r>
      <w:r w:rsidR="0092685C" w:rsidRPr="0092685C">
        <w:rPr>
          <w:rFonts w:ascii="Times New Roman" w:hAnsi="Times New Roman" w:cs="Times New Roman" w:hint="eastAsia"/>
          <w:sz w:val="21"/>
          <w:szCs w:val="21"/>
        </w:rPr>
        <w:t>，增加“判定结果时，苯及苯类残留量小于</w:t>
      </w:r>
      <w:r w:rsidR="0092685C" w:rsidRPr="0092685C">
        <w:rPr>
          <w:rFonts w:ascii="Times New Roman" w:hAnsi="Times New Roman" w:cs="Times New Roman" w:hint="eastAsia"/>
          <w:sz w:val="21"/>
          <w:szCs w:val="21"/>
        </w:rPr>
        <w:t>0.01mg/m2</w:t>
      </w:r>
      <w:r w:rsidR="0092685C" w:rsidRPr="0092685C">
        <w:rPr>
          <w:rFonts w:ascii="Times New Roman" w:hAnsi="Times New Roman" w:cs="Times New Roman" w:hint="eastAsia"/>
          <w:sz w:val="21"/>
          <w:szCs w:val="21"/>
        </w:rPr>
        <w:t>时视为未检出。”</w:t>
      </w:r>
      <w:r w:rsidR="0092685C">
        <w:rPr>
          <w:rFonts w:ascii="Times New Roman" w:hAnsi="Times New Roman" w:cs="Times New Roman" w:hint="eastAsia"/>
          <w:sz w:val="21"/>
          <w:szCs w:val="21"/>
        </w:rPr>
        <w:t>的</w:t>
      </w:r>
      <w:r w:rsidR="0092685C" w:rsidRPr="0092685C">
        <w:rPr>
          <w:rFonts w:ascii="Times New Roman" w:hAnsi="Times New Roman" w:cs="Times New Roman" w:hint="eastAsia"/>
          <w:sz w:val="21"/>
          <w:szCs w:val="21"/>
        </w:rPr>
        <w:t>描述</w:t>
      </w:r>
    </w:p>
    <w:p w14:paraId="6BDBF622" w14:textId="6511469D" w:rsidR="008B595E" w:rsidRDefault="008B595E" w:rsidP="008B595E">
      <w:pPr>
        <w:pStyle w:val="aa"/>
        <w:adjustRightInd w:val="0"/>
        <w:snapToGrid w:val="0"/>
        <w:ind w:firstLine="422"/>
        <w:jc w:val="both"/>
        <w:rPr>
          <w:rFonts w:ascii="Times New Roman" w:hAnsi="Times New Roman" w:cs="Times New Roman"/>
          <w:b/>
          <w:bCs/>
          <w:sz w:val="21"/>
          <w:szCs w:val="21"/>
        </w:rPr>
      </w:pPr>
      <w:r>
        <w:rPr>
          <w:rFonts w:ascii="Times New Roman" w:hAnsi="Times New Roman" w:cs="Times New Roman" w:hint="eastAsia"/>
          <w:b/>
          <w:bCs/>
          <w:sz w:val="21"/>
          <w:szCs w:val="21"/>
        </w:rPr>
        <w:t>四</w:t>
      </w:r>
      <w:r>
        <w:rPr>
          <w:rFonts w:ascii="Times New Roman" w:hAnsi="Times New Roman" w:cs="Times New Roman"/>
          <w:b/>
          <w:bCs/>
          <w:sz w:val="21"/>
          <w:szCs w:val="21"/>
        </w:rPr>
        <w:t>、</w:t>
      </w:r>
      <w:r>
        <w:rPr>
          <w:rFonts w:ascii="Times New Roman" w:hAnsi="Times New Roman" w:cs="Times New Roman" w:hint="eastAsia"/>
          <w:b/>
          <w:bCs/>
          <w:sz w:val="21"/>
          <w:szCs w:val="21"/>
        </w:rPr>
        <w:t>意见反馈及处理情况</w:t>
      </w:r>
    </w:p>
    <w:tbl>
      <w:tblPr>
        <w:tblW w:w="92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600" w:firstRow="0" w:lastRow="0" w:firstColumn="0" w:lastColumn="0" w:noHBand="1" w:noVBand="1"/>
      </w:tblPr>
      <w:tblGrid>
        <w:gridCol w:w="383"/>
        <w:gridCol w:w="4420"/>
        <w:gridCol w:w="4420"/>
      </w:tblGrid>
      <w:tr w:rsidR="008B595E" w:rsidRPr="008B595E" w14:paraId="218A8CC5" w14:textId="77777777" w:rsidTr="005F0D17">
        <w:trPr>
          <w:trHeight w:val="300"/>
          <w:jc w:val="center"/>
        </w:trPr>
        <w:tc>
          <w:tcPr>
            <w:tcW w:w="383" w:type="dxa"/>
            <w:shd w:val="clear" w:color="auto" w:fill="FFFFFF" w:themeFill="background1"/>
            <w:tcMar>
              <w:top w:w="7" w:type="dxa"/>
              <w:left w:w="7" w:type="dxa"/>
              <w:bottom w:w="0" w:type="dxa"/>
              <w:right w:w="7" w:type="dxa"/>
            </w:tcMar>
            <w:vAlign w:val="center"/>
            <w:hideMark/>
          </w:tcPr>
          <w:p w14:paraId="7DB201C4" w14:textId="77777777" w:rsidR="008B595E" w:rsidRPr="008B595E" w:rsidRDefault="008B595E" w:rsidP="00452F1A">
            <w:pPr>
              <w:spacing w:line="300" w:lineRule="atLeast"/>
              <w:ind w:firstLineChars="0" w:firstLine="0"/>
              <w:jc w:val="center"/>
              <w:textAlignment w:val="center"/>
              <w:rPr>
                <w:rFonts w:ascii="Arial" w:hAnsi="Arial" w:cs="Arial"/>
                <w:sz w:val="36"/>
                <w:szCs w:val="36"/>
              </w:rPr>
            </w:pPr>
            <w:r w:rsidRPr="008B595E">
              <w:rPr>
                <w:rFonts w:cs="Times New Roman"/>
                <w:b/>
                <w:bCs/>
                <w:color w:val="000000" w:themeColor="dark1"/>
                <w:kern w:val="24"/>
                <w:sz w:val="18"/>
                <w:szCs w:val="18"/>
              </w:rPr>
              <w:t>序号</w:t>
            </w:r>
          </w:p>
        </w:tc>
        <w:tc>
          <w:tcPr>
            <w:tcW w:w="4420" w:type="dxa"/>
            <w:shd w:val="clear" w:color="auto" w:fill="FFFFFF" w:themeFill="background1"/>
            <w:tcMar>
              <w:top w:w="7" w:type="dxa"/>
              <w:left w:w="7" w:type="dxa"/>
              <w:bottom w:w="0" w:type="dxa"/>
              <w:right w:w="7" w:type="dxa"/>
            </w:tcMar>
            <w:vAlign w:val="center"/>
            <w:hideMark/>
          </w:tcPr>
          <w:p w14:paraId="1C4BE86D" w14:textId="77777777" w:rsidR="008B595E" w:rsidRPr="008B595E" w:rsidRDefault="008B595E" w:rsidP="008B595E">
            <w:pPr>
              <w:spacing w:line="300" w:lineRule="atLeast"/>
              <w:ind w:firstLineChars="0" w:firstLine="0"/>
              <w:jc w:val="center"/>
              <w:textAlignment w:val="center"/>
              <w:rPr>
                <w:rFonts w:ascii="Arial" w:hAnsi="Arial" w:cs="Arial"/>
                <w:sz w:val="36"/>
                <w:szCs w:val="36"/>
              </w:rPr>
            </w:pPr>
            <w:r w:rsidRPr="008B595E">
              <w:rPr>
                <w:rFonts w:cs="Times New Roman"/>
                <w:b/>
                <w:bCs/>
                <w:color w:val="000000" w:themeColor="dark1"/>
                <w:kern w:val="24"/>
                <w:sz w:val="18"/>
                <w:szCs w:val="18"/>
              </w:rPr>
              <w:t>意见或建议</w:t>
            </w:r>
          </w:p>
        </w:tc>
        <w:tc>
          <w:tcPr>
            <w:tcW w:w="4420" w:type="dxa"/>
            <w:shd w:val="clear" w:color="auto" w:fill="FFFFFF" w:themeFill="background1"/>
            <w:tcMar>
              <w:top w:w="7" w:type="dxa"/>
              <w:left w:w="7" w:type="dxa"/>
              <w:bottom w:w="0" w:type="dxa"/>
              <w:right w:w="7" w:type="dxa"/>
            </w:tcMar>
            <w:vAlign w:val="center"/>
            <w:hideMark/>
          </w:tcPr>
          <w:p w14:paraId="272069E0" w14:textId="77777777" w:rsidR="008B595E" w:rsidRPr="008B595E" w:rsidRDefault="008B595E" w:rsidP="008B595E">
            <w:pPr>
              <w:spacing w:line="300" w:lineRule="atLeast"/>
              <w:ind w:firstLineChars="0" w:firstLine="0"/>
              <w:jc w:val="center"/>
              <w:textAlignment w:val="center"/>
              <w:rPr>
                <w:rFonts w:ascii="Arial" w:hAnsi="Arial" w:cs="Arial"/>
                <w:sz w:val="36"/>
                <w:szCs w:val="36"/>
              </w:rPr>
            </w:pPr>
            <w:r w:rsidRPr="008B595E">
              <w:rPr>
                <w:rFonts w:cs="Times New Roman"/>
                <w:b/>
                <w:bCs/>
                <w:color w:val="000000" w:themeColor="dark1"/>
                <w:kern w:val="24"/>
                <w:sz w:val="18"/>
                <w:szCs w:val="18"/>
              </w:rPr>
              <w:t>意见回复</w:t>
            </w:r>
          </w:p>
        </w:tc>
      </w:tr>
      <w:tr w:rsidR="008B595E" w:rsidRPr="008B595E" w14:paraId="268DD63A" w14:textId="77777777" w:rsidTr="005F0D17">
        <w:trPr>
          <w:trHeight w:val="836"/>
          <w:jc w:val="center"/>
        </w:trPr>
        <w:tc>
          <w:tcPr>
            <w:tcW w:w="383" w:type="dxa"/>
            <w:shd w:val="clear" w:color="auto" w:fill="FFFFFF" w:themeFill="background1"/>
            <w:tcMar>
              <w:top w:w="7" w:type="dxa"/>
              <w:left w:w="7" w:type="dxa"/>
              <w:bottom w:w="0" w:type="dxa"/>
              <w:right w:w="7" w:type="dxa"/>
            </w:tcMar>
            <w:vAlign w:val="center"/>
            <w:hideMark/>
          </w:tcPr>
          <w:p w14:paraId="5B47259A" w14:textId="77777777" w:rsidR="008B595E" w:rsidRPr="005F0D17" w:rsidRDefault="008B595E" w:rsidP="008B595E">
            <w:pPr>
              <w:spacing w:line="240" w:lineRule="auto"/>
              <w:ind w:firstLineChars="0" w:firstLine="0"/>
              <w:jc w:val="center"/>
              <w:textAlignment w:val="center"/>
              <w:rPr>
                <w:rFonts w:cs="Times New Roman"/>
                <w:szCs w:val="21"/>
              </w:rPr>
            </w:pPr>
            <w:r w:rsidRPr="005F0D17">
              <w:rPr>
                <w:rFonts w:cs="Times New Roman"/>
                <w:szCs w:val="21"/>
              </w:rPr>
              <w:t>1</w:t>
            </w:r>
          </w:p>
        </w:tc>
        <w:tc>
          <w:tcPr>
            <w:tcW w:w="4420" w:type="dxa"/>
            <w:shd w:val="clear" w:color="auto" w:fill="FFFFFF" w:themeFill="background1"/>
            <w:tcMar>
              <w:top w:w="7" w:type="dxa"/>
              <w:left w:w="7" w:type="dxa"/>
              <w:bottom w:w="0" w:type="dxa"/>
              <w:right w:w="7" w:type="dxa"/>
            </w:tcMar>
            <w:vAlign w:val="center"/>
            <w:hideMark/>
          </w:tcPr>
          <w:p w14:paraId="182B9B5A" w14:textId="77777777" w:rsidR="008B595E" w:rsidRPr="005F0D17" w:rsidRDefault="008B595E" w:rsidP="008B595E">
            <w:pPr>
              <w:spacing w:line="240" w:lineRule="auto"/>
              <w:ind w:left="288" w:firstLineChars="0" w:firstLine="0"/>
              <w:textAlignment w:val="center"/>
              <w:rPr>
                <w:rFonts w:cs="Times New Roman"/>
                <w:szCs w:val="21"/>
              </w:rPr>
            </w:pPr>
            <w:r w:rsidRPr="005F0D17">
              <w:rPr>
                <w:rFonts w:cs="Times New Roman" w:hint="eastAsia"/>
                <w:szCs w:val="21"/>
              </w:rPr>
              <w:t>我院开展的相关研究还发现样品中有检出正丙醇、异丁醇、丙二醇甲醚、</w:t>
            </w:r>
            <w:r w:rsidRPr="005F0D17">
              <w:rPr>
                <w:rFonts w:cs="Times New Roman"/>
                <w:szCs w:val="21"/>
              </w:rPr>
              <w:t>2-</w:t>
            </w:r>
            <w:r w:rsidRPr="005F0D17">
              <w:rPr>
                <w:rFonts w:cs="Times New Roman" w:hint="eastAsia"/>
                <w:szCs w:val="21"/>
              </w:rPr>
              <w:t>乙基己醇等残留溶剂，故如何界定需要检测的溶剂种类还应更加明确表述</w:t>
            </w:r>
          </w:p>
        </w:tc>
        <w:tc>
          <w:tcPr>
            <w:tcW w:w="4420" w:type="dxa"/>
            <w:shd w:val="clear" w:color="auto" w:fill="FFFFFF" w:themeFill="background1"/>
            <w:tcMar>
              <w:top w:w="7" w:type="dxa"/>
              <w:left w:w="7" w:type="dxa"/>
              <w:bottom w:w="0" w:type="dxa"/>
              <w:right w:w="7" w:type="dxa"/>
            </w:tcMar>
            <w:vAlign w:val="center"/>
            <w:hideMark/>
          </w:tcPr>
          <w:p w14:paraId="5BF379A0" w14:textId="77777777" w:rsidR="008B595E" w:rsidRPr="005F0D17" w:rsidRDefault="008B595E" w:rsidP="008B595E">
            <w:pPr>
              <w:spacing w:line="240" w:lineRule="auto"/>
              <w:ind w:left="288" w:firstLineChars="0" w:firstLine="0"/>
              <w:textAlignment w:val="center"/>
              <w:rPr>
                <w:rFonts w:cs="Times New Roman"/>
                <w:szCs w:val="21"/>
              </w:rPr>
            </w:pPr>
            <w:r w:rsidRPr="005F0D17">
              <w:rPr>
                <w:rFonts w:cs="Times New Roman" w:hint="eastAsia"/>
                <w:szCs w:val="21"/>
              </w:rPr>
              <w:t>标准中有“需要检测的溶剂种类，应根据产品配方工艺特点确定，不仅局限本标准中举例的溶剂。”的规定，如果样品中含有其他溶剂，也应当进行检测。</w:t>
            </w:r>
          </w:p>
        </w:tc>
      </w:tr>
      <w:tr w:rsidR="008B595E" w:rsidRPr="008B595E" w14:paraId="0BCAA81E" w14:textId="77777777" w:rsidTr="005F0D17">
        <w:trPr>
          <w:trHeight w:val="1237"/>
          <w:jc w:val="center"/>
        </w:trPr>
        <w:tc>
          <w:tcPr>
            <w:tcW w:w="383" w:type="dxa"/>
            <w:shd w:val="clear" w:color="auto" w:fill="FFFFFF" w:themeFill="background1"/>
            <w:tcMar>
              <w:top w:w="7" w:type="dxa"/>
              <w:left w:w="7" w:type="dxa"/>
              <w:bottom w:w="0" w:type="dxa"/>
              <w:right w:w="7" w:type="dxa"/>
            </w:tcMar>
            <w:vAlign w:val="center"/>
            <w:hideMark/>
          </w:tcPr>
          <w:p w14:paraId="2A604683" w14:textId="77777777" w:rsidR="008B595E" w:rsidRPr="005F0D17" w:rsidRDefault="008B595E" w:rsidP="008B595E">
            <w:pPr>
              <w:spacing w:line="240" w:lineRule="auto"/>
              <w:ind w:firstLineChars="0" w:firstLine="0"/>
              <w:jc w:val="center"/>
              <w:textAlignment w:val="center"/>
              <w:rPr>
                <w:rFonts w:cs="Times New Roman"/>
                <w:szCs w:val="21"/>
              </w:rPr>
            </w:pPr>
            <w:r w:rsidRPr="005F0D17">
              <w:rPr>
                <w:rFonts w:cs="Times New Roman"/>
                <w:szCs w:val="21"/>
              </w:rPr>
              <w:t>2</w:t>
            </w:r>
          </w:p>
        </w:tc>
        <w:tc>
          <w:tcPr>
            <w:tcW w:w="4420" w:type="dxa"/>
            <w:shd w:val="clear" w:color="auto" w:fill="FFFFFF" w:themeFill="background1"/>
            <w:tcMar>
              <w:top w:w="7" w:type="dxa"/>
              <w:left w:w="7" w:type="dxa"/>
              <w:bottom w:w="0" w:type="dxa"/>
              <w:right w:w="7" w:type="dxa"/>
            </w:tcMar>
            <w:vAlign w:val="center"/>
            <w:hideMark/>
          </w:tcPr>
          <w:p w14:paraId="5B4B9450" w14:textId="77777777" w:rsidR="008B595E" w:rsidRPr="005F0D17" w:rsidRDefault="008B595E" w:rsidP="008B595E">
            <w:pPr>
              <w:spacing w:line="240" w:lineRule="auto"/>
              <w:ind w:left="288" w:firstLineChars="0" w:firstLine="0"/>
              <w:textAlignment w:val="center"/>
              <w:rPr>
                <w:rFonts w:cs="Times New Roman"/>
                <w:szCs w:val="21"/>
              </w:rPr>
            </w:pPr>
            <w:r w:rsidRPr="005F0D17">
              <w:rPr>
                <w:rFonts w:cs="Times New Roman" w:hint="eastAsia"/>
                <w:szCs w:val="21"/>
              </w:rPr>
              <w:t>苯及苯类的结果判定要求不明确</w:t>
            </w:r>
          </w:p>
        </w:tc>
        <w:tc>
          <w:tcPr>
            <w:tcW w:w="4420" w:type="dxa"/>
            <w:shd w:val="clear" w:color="auto" w:fill="FFFFFF" w:themeFill="background1"/>
            <w:tcMar>
              <w:top w:w="7" w:type="dxa"/>
              <w:left w:w="7" w:type="dxa"/>
              <w:bottom w:w="0" w:type="dxa"/>
              <w:right w:w="7" w:type="dxa"/>
            </w:tcMar>
            <w:vAlign w:val="center"/>
            <w:hideMark/>
          </w:tcPr>
          <w:p w14:paraId="7D85A9A9" w14:textId="1D64CB25" w:rsidR="008B595E" w:rsidRPr="005F0D17" w:rsidRDefault="008B595E" w:rsidP="005F0D17">
            <w:pPr>
              <w:spacing w:line="240" w:lineRule="auto"/>
              <w:ind w:left="288" w:firstLineChars="0" w:firstLine="0"/>
              <w:textAlignment w:val="center"/>
              <w:rPr>
                <w:rFonts w:cs="Times New Roman"/>
                <w:szCs w:val="21"/>
              </w:rPr>
            </w:pPr>
            <w:r w:rsidRPr="005F0D17">
              <w:rPr>
                <w:rFonts w:cs="Times New Roman" w:hint="eastAsia"/>
                <w:szCs w:val="21"/>
              </w:rPr>
              <w:t>采纳，参考</w:t>
            </w:r>
            <w:r w:rsidRPr="005F0D17">
              <w:rPr>
                <w:rFonts w:cs="Times New Roman"/>
                <w:szCs w:val="21"/>
              </w:rPr>
              <w:t>GB10004-2008</w:t>
            </w:r>
            <w:r w:rsidRPr="005F0D17">
              <w:rPr>
                <w:rFonts w:cs="Times New Roman" w:hint="eastAsia"/>
                <w:szCs w:val="21"/>
              </w:rPr>
              <w:t>，增加“判定结果时，苯及苯类残留量小于</w:t>
            </w:r>
            <w:r w:rsidRPr="005F0D17">
              <w:rPr>
                <w:rFonts w:cs="Times New Roman"/>
                <w:szCs w:val="21"/>
              </w:rPr>
              <w:t>0.01mg/m2</w:t>
            </w:r>
            <w:r w:rsidRPr="005F0D17">
              <w:rPr>
                <w:rFonts w:cs="Times New Roman" w:hint="eastAsia"/>
                <w:szCs w:val="21"/>
              </w:rPr>
              <w:t>时视为未检出。”描述</w:t>
            </w:r>
          </w:p>
        </w:tc>
      </w:tr>
      <w:tr w:rsidR="008B595E" w:rsidRPr="008B595E" w14:paraId="23E36262" w14:textId="77777777" w:rsidTr="005F0D17">
        <w:trPr>
          <w:trHeight w:val="709"/>
          <w:jc w:val="center"/>
        </w:trPr>
        <w:tc>
          <w:tcPr>
            <w:tcW w:w="383" w:type="dxa"/>
            <w:shd w:val="clear" w:color="auto" w:fill="FFFFFF" w:themeFill="background1"/>
            <w:tcMar>
              <w:top w:w="7" w:type="dxa"/>
              <w:left w:w="7" w:type="dxa"/>
              <w:bottom w:w="0" w:type="dxa"/>
              <w:right w:w="7" w:type="dxa"/>
            </w:tcMar>
            <w:vAlign w:val="center"/>
            <w:hideMark/>
          </w:tcPr>
          <w:p w14:paraId="78A033C7" w14:textId="77777777" w:rsidR="008B595E" w:rsidRPr="005F0D17" w:rsidRDefault="008B595E" w:rsidP="008B595E">
            <w:pPr>
              <w:spacing w:line="240" w:lineRule="auto"/>
              <w:ind w:firstLineChars="0" w:firstLine="0"/>
              <w:jc w:val="center"/>
              <w:textAlignment w:val="center"/>
              <w:rPr>
                <w:rFonts w:cs="Times New Roman"/>
                <w:szCs w:val="21"/>
              </w:rPr>
            </w:pPr>
            <w:r w:rsidRPr="005F0D17">
              <w:rPr>
                <w:rFonts w:cs="Times New Roman"/>
                <w:szCs w:val="21"/>
              </w:rPr>
              <w:t>3</w:t>
            </w:r>
          </w:p>
        </w:tc>
        <w:tc>
          <w:tcPr>
            <w:tcW w:w="4420" w:type="dxa"/>
            <w:shd w:val="clear" w:color="auto" w:fill="FFFFFF" w:themeFill="background1"/>
            <w:tcMar>
              <w:top w:w="7" w:type="dxa"/>
              <w:left w:w="7" w:type="dxa"/>
              <w:bottom w:w="0" w:type="dxa"/>
              <w:right w:w="7" w:type="dxa"/>
            </w:tcMar>
            <w:vAlign w:val="center"/>
            <w:hideMark/>
          </w:tcPr>
          <w:p w14:paraId="5C26DC05" w14:textId="77777777" w:rsidR="008B595E" w:rsidRPr="005F0D17" w:rsidRDefault="008B595E" w:rsidP="008B595E">
            <w:pPr>
              <w:spacing w:line="240" w:lineRule="auto"/>
              <w:ind w:left="288" w:firstLineChars="0" w:firstLine="0"/>
              <w:textAlignment w:val="center"/>
              <w:rPr>
                <w:rFonts w:cs="Times New Roman"/>
                <w:szCs w:val="21"/>
              </w:rPr>
            </w:pPr>
            <w:r w:rsidRPr="005F0D17">
              <w:rPr>
                <w:rFonts w:cs="Times New Roman" w:hint="eastAsia"/>
                <w:szCs w:val="21"/>
              </w:rPr>
              <w:t>日常检测，使用混合对照品，很难做到对照品与每个检出溶剂质量都相近。</w:t>
            </w:r>
          </w:p>
        </w:tc>
        <w:tc>
          <w:tcPr>
            <w:tcW w:w="4420" w:type="dxa"/>
            <w:shd w:val="clear" w:color="auto" w:fill="FFFFFF" w:themeFill="background1"/>
            <w:tcMar>
              <w:top w:w="7" w:type="dxa"/>
              <w:left w:w="7" w:type="dxa"/>
              <w:bottom w:w="0" w:type="dxa"/>
              <w:right w:w="7" w:type="dxa"/>
            </w:tcMar>
            <w:vAlign w:val="center"/>
            <w:hideMark/>
          </w:tcPr>
          <w:p w14:paraId="59D38D5F" w14:textId="2ECFF9D9" w:rsidR="008B595E" w:rsidRPr="005F0D17" w:rsidRDefault="008B595E" w:rsidP="008B595E">
            <w:pPr>
              <w:spacing w:line="240" w:lineRule="auto"/>
              <w:ind w:left="288" w:firstLineChars="0" w:firstLine="0"/>
              <w:textAlignment w:val="center"/>
              <w:rPr>
                <w:rFonts w:cs="Times New Roman"/>
                <w:szCs w:val="21"/>
              </w:rPr>
            </w:pPr>
            <w:r w:rsidRPr="005F0D17">
              <w:rPr>
                <w:rFonts w:cs="Times New Roman" w:hint="eastAsia"/>
                <w:szCs w:val="21"/>
              </w:rPr>
              <w:t>采纳，为方便实验，增加“对照与供试品中对应的色谱峰面积比值不超过</w:t>
            </w:r>
            <w:r w:rsidRPr="005F0D17">
              <w:rPr>
                <w:rFonts w:cs="Times New Roman"/>
                <w:szCs w:val="21"/>
              </w:rPr>
              <w:t>2</w:t>
            </w:r>
            <w:r w:rsidRPr="005F0D17">
              <w:rPr>
                <w:rFonts w:cs="Times New Roman" w:hint="eastAsia"/>
                <w:szCs w:val="21"/>
              </w:rPr>
              <w:t>倍”的规定。</w:t>
            </w:r>
          </w:p>
        </w:tc>
      </w:tr>
      <w:tr w:rsidR="008B595E" w:rsidRPr="008B595E" w14:paraId="23B4E590" w14:textId="77777777" w:rsidTr="005F0D17">
        <w:trPr>
          <w:trHeight w:val="983"/>
          <w:jc w:val="center"/>
        </w:trPr>
        <w:tc>
          <w:tcPr>
            <w:tcW w:w="383" w:type="dxa"/>
            <w:shd w:val="clear" w:color="auto" w:fill="FFFFFF" w:themeFill="background1"/>
            <w:tcMar>
              <w:top w:w="8" w:type="dxa"/>
              <w:left w:w="8" w:type="dxa"/>
              <w:bottom w:w="0" w:type="dxa"/>
              <w:right w:w="8" w:type="dxa"/>
            </w:tcMar>
            <w:vAlign w:val="center"/>
            <w:hideMark/>
          </w:tcPr>
          <w:p w14:paraId="65422084" w14:textId="77777777" w:rsidR="008B595E" w:rsidRPr="005F0D17" w:rsidRDefault="008B595E" w:rsidP="008B595E">
            <w:pPr>
              <w:spacing w:line="240" w:lineRule="auto"/>
              <w:ind w:firstLineChars="0" w:firstLine="0"/>
              <w:jc w:val="center"/>
              <w:textAlignment w:val="center"/>
              <w:rPr>
                <w:rFonts w:cs="Times New Roman"/>
                <w:szCs w:val="21"/>
              </w:rPr>
            </w:pPr>
            <w:r w:rsidRPr="005F0D17">
              <w:rPr>
                <w:rFonts w:cs="Times New Roman"/>
                <w:szCs w:val="21"/>
              </w:rPr>
              <w:t>4</w:t>
            </w:r>
          </w:p>
        </w:tc>
        <w:tc>
          <w:tcPr>
            <w:tcW w:w="4420" w:type="dxa"/>
            <w:shd w:val="clear" w:color="auto" w:fill="FFFFFF" w:themeFill="background1"/>
            <w:tcMar>
              <w:top w:w="8" w:type="dxa"/>
              <w:left w:w="8" w:type="dxa"/>
              <w:bottom w:w="0" w:type="dxa"/>
              <w:right w:w="8" w:type="dxa"/>
            </w:tcMar>
            <w:vAlign w:val="center"/>
            <w:hideMark/>
          </w:tcPr>
          <w:p w14:paraId="0481ABDD" w14:textId="77777777" w:rsidR="008B595E" w:rsidRPr="005F0D17" w:rsidRDefault="008B595E" w:rsidP="008B595E">
            <w:pPr>
              <w:spacing w:line="240" w:lineRule="auto"/>
              <w:ind w:left="288" w:firstLineChars="0" w:firstLine="0"/>
              <w:textAlignment w:val="center"/>
              <w:rPr>
                <w:rFonts w:cs="Times New Roman"/>
                <w:szCs w:val="21"/>
              </w:rPr>
            </w:pPr>
            <w:r w:rsidRPr="005F0D17">
              <w:rPr>
                <w:rFonts w:cs="Times New Roman"/>
                <w:szCs w:val="21"/>
              </w:rPr>
              <w:t>“</w:t>
            </w:r>
            <w:r w:rsidRPr="005F0D17">
              <w:rPr>
                <w:rFonts w:cs="Times New Roman"/>
                <w:szCs w:val="21"/>
              </w:rPr>
              <w:t>第三法中苯及苯类溶剂的</w:t>
            </w:r>
            <w:r w:rsidRPr="005F0D17">
              <w:rPr>
                <w:rFonts w:cs="Times New Roman"/>
                <w:szCs w:val="21"/>
              </w:rPr>
              <w:t xml:space="preserve"> </w:t>
            </w:r>
            <w:r w:rsidRPr="005F0D17">
              <w:rPr>
                <w:rFonts w:cs="Times New Roman"/>
                <w:szCs w:val="21"/>
              </w:rPr>
              <w:t>对照品溶液浓度应与第一法</w:t>
            </w:r>
            <w:r w:rsidRPr="005F0D17">
              <w:rPr>
                <w:rFonts w:cs="Times New Roman"/>
                <w:szCs w:val="21"/>
              </w:rPr>
              <w:t xml:space="preserve"> </w:t>
            </w:r>
            <w:r w:rsidRPr="005F0D17">
              <w:rPr>
                <w:rFonts w:cs="Times New Roman"/>
                <w:szCs w:val="21"/>
              </w:rPr>
              <w:t>或第二法中的苯及苯类溶剂</w:t>
            </w:r>
            <w:r w:rsidRPr="005F0D17">
              <w:rPr>
                <w:rFonts w:cs="Times New Roman"/>
                <w:szCs w:val="21"/>
              </w:rPr>
              <w:t xml:space="preserve"> </w:t>
            </w:r>
            <w:r w:rsidRPr="005F0D17">
              <w:rPr>
                <w:rFonts w:cs="Times New Roman"/>
                <w:szCs w:val="21"/>
              </w:rPr>
              <w:t>检出限对应的浓度一致。</w:t>
            </w:r>
            <w:r w:rsidRPr="005F0D17">
              <w:rPr>
                <w:rFonts w:cs="Times New Roman"/>
                <w:szCs w:val="21"/>
              </w:rPr>
              <w:t>”</w:t>
            </w:r>
            <w:r w:rsidRPr="005F0D17">
              <w:rPr>
                <w:rFonts w:cs="Times New Roman"/>
                <w:szCs w:val="21"/>
              </w:rPr>
              <w:t>建议修改为</w:t>
            </w:r>
            <w:r w:rsidRPr="005F0D17">
              <w:rPr>
                <w:rFonts w:cs="Times New Roman"/>
                <w:szCs w:val="21"/>
              </w:rPr>
              <w:t>“</w:t>
            </w:r>
            <w:r w:rsidRPr="005F0D17">
              <w:rPr>
                <w:rFonts w:cs="Times New Roman"/>
                <w:szCs w:val="21"/>
              </w:rPr>
              <w:t>第三法中苯及苯类</w:t>
            </w:r>
            <w:r w:rsidRPr="005F0D17">
              <w:rPr>
                <w:rFonts w:cs="Times New Roman"/>
                <w:szCs w:val="21"/>
              </w:rPr>
              <w:t xml:space="preserve"> </w:t>
            </w:r>
            <w:r w:rsidRPr="005F0D17">
              <w:rPr>
                <w:rFonts w:cs="Times New Roman"/>
                <w:szCs w:val="21"/>
              </w:rPr>
              <w:t>溶剂的对照品溶液浓度应与</w:t>
            </w:r>
            <w:r w:rsidRPr="005F0D17">
              <w:rPr>
                <w:rFonts w:cs="Times New Roman"/>
                <w:szCs w:val="21"/>
              </w:rPr>
              <w:t xml:space="preserve"> </w:t>
            </w:r>
            <w:r w:rsidRPr="005F0D17">
              <w:rPr>
                <w:rFonts w:cs="Times New Roman"/>
                <w:szCs w:val="21"/>
              </w:rPr>
              <w:t>供试品中的浓度相近。</w:t>
            </w:r>
            <w:r w:rsidRPr="005F0D17">
              <w:rPr>
                <w:rFonts w:cs="Times New Roman"/>
                <w:szCs w:val="21"/>
              </w:rPr>
              <w:t>”</w:t>
            </w:r>
          </w:p>
        </w:tc>
        <w:tc>
          <w:tcPr>
            <w:tcW w:w="4420" w:type="dxa"/>
            <w:shd w:val="clear" w:color="auto" w:fill="FFFFFF" w:themeFill="background1"/>
            <w:tcMar>
              <w:top w:w="8" w:type="dxa"/>
              <w:left w:w="8" w:type="dxa"/>
              <w:bottom w:w="0" w:type="dxa"/>
              <w:right w:w="8" w:type="dxa"/>
            </w:tcMar>
            <w:vAlign w:val="center"/>
            <w:hideMark/>
          </w:tcPr>
          <w:p w14:paraId="7DAAFCE5" w14:textId="45866752" w:rsidR="008B595E" w:rsidRPr="005F0D17" w:rsidRDefault="005F0D17" w:rsidP="008B595E">
            <w:pPr>
              <w:spacing w:line="240" w:lineRule="auto"/>
              <w:ind w:left="288" w:firstLineChars="0" w:firstLine="0"/>
              <w:textAlignment w:val="center"/>
              <w:rPr>
                <w:rFonts w:cs="Times New Roman"/>
                <w:szCs w:val="21"/>
              </w:rPr>
            </w:pPr>
            <w:r>
              <w:rPr>
                <w:rFonts w:cs="Times New Roman" w:hint="eastAsia"/>
                <w:szCs w:val="21"/>
              </w:rPr>
              <w:t>未</w:t>
            </w:r>
            <w:r w:rsidR="008B595E" w:rsidRPr="005F0D17">
              <w:rPr>
                <w:rFonts w:cs="Times New Roman" w:hint="eastAsia"/>
                <w:szCs w:val="21"/>
              </w:rPr>
              <w:t>采纳，样品中苯及苯类溶剂可能是极微量的，很难做到对照品溶液浓度应与供试品中的浓度相近。</w:t>
            </w:r>
          </w:p>
        </w:tc>
      </w:tr>
      <w:tr w:rsidR="008B595E" w:rsidRPr="008B595E" w14:paraId="0E2073A2" w14:textId="77777777" w:rsidTr="005F0D17">
        <w:trPr>
          <w:trHeight w:val="709"/>
          <w:jc w:val="center"/>
        </w:trPr>
        <w:tc>
          <w:tcPr>
            <w:tcW w:w="383" w:type="dxa"/>
            <w:shd w:val="clear" w:color="auto" w:fill="FFFFFF" w:themeFill="background1"/>
            <w:tcMar>
              <w:top w:w="12" w:type="dxa"/>
              <w:left w:w="12" w:type="dxa"/>
              <w:bottom w:w="0" w:type="dxa"/>
              <w:right w:w="12" w:type="dxa"/>
            </w:tcMar>
            <w:vAlign w:val="center"/>
            <w:hideMark/>
          </w:tcPr>
          <w:p w14:paraId="6DD78F44" w14:textId="77777777" w:rsidR="008B595E" w:rsidRPr="005F0D17" w:rsidRDefault="008B595E" w:rsidP="008B595E">
            <w:pPr>
              <w:spacing w:line="240" w:lineRule="auto"/>
              <w:ind w:firstLineChars="0" w:firstLine="0"/>
              <w:jc w:val="center"/>
              <w:textAlignment w:val="center"/>
              <w:rPr>
                <w:rFonts w:cs="Times New Roman"/>
                <w:szCs w:val="21"/>
              </w:rPr>
            </w:pPr>
            <w:r w:rsidRPr="005F0D17">
              <w:rPr>
                <w:rFonts w:cs="Times New Roman"/>
                <w:szCs w:val="21"/>
              </w:rPr>
              <w:t>5</w:t>
            </w:r>
          </w:p>
        </w:tc>
        <w:tc>
          <w:tcPr>
            <w:tcW w:w="4420" w:type="dxa"/>
            <w:shd w:val="clear" w:color="auto" w:fill="FFFFFF" w:themeFill="background1"/>
            <w:tcMar>
              <w:top w:w="8" w:type="dxa"/>
              <w:left w:w="8" w:type="dxa"/>
              <w:bottom w:w="0" w:type="dxa"/>
              <w:right w:w="8" w:type="dxa"/>
            </w:tcMar>
            <w:vAlign w:val="center"/>
            <w:hideMark/>
          </w:tcPr>
          <w:p w14:paraId="73699CD2" w14:textId="77777777" w:rsidR="008B595E" w:rsidRPr="005F0D17" w:rsidRDefault="008B595E" w:rsidP="008B595E">
            <w:pPr>
              <w:spacing w:line="240" w:lineRule="auto"/>
              <w:ind w:left="288" w:firstLineChars="0" w:firstLine="0"/>
              <w:textAlignment w:val="center"/>
              <w:rPr>
                <w:rFonts w:cs="Times New Roman"/>
                <w:szCs w:val="21"/>
              </w:rPr>
            </w:pPr>
            <w:r w:rsidRPr="005F0D17">
              <w:rPr>
                <w:rFonts w:cs="Times New Roman" w:hint="eastAsia"/>
                <w:szCs w:val="21"/>
              </w:rPr>
              <w:t>建议备注对照品溶液配制成混标溶液还是单标溶液</w:t>
            </w:r>
          </w:p>
        </w:tc>
        <w:tc>
          <w:tcPr>
            <w:tcW w:w="4420" w:type="dxa"/>
            <w:shd w:val="clear" w:color="auto" w:fill="FFFFFF" w:themeFill="background1"/>
            <w:tcMar>
              <w:top w:w="8" w:type="dxa"/>
              <w:left w:w="8" w:type="dxa"/>
              <w:bottom w:w="0" w:type="dxa"/>
              <w:right w:w="8" w:type="dxa"/>
            </w:tcMar>
            <w:vAlign w:val="center"/>
            <w:hideMark/>
          </w:tcPr>
          <w:p w14:paraId="35B2241E" w14:textId="6F67B11F" w:rsidR="008B595E" w:rsidRPr="005F0D17" w:rsidRDefault="005F0D17" w:rsidP="008B595E">
            <w:pPr>
              <w:spacing w:line="240" w:lineRule="auto"/>
              <w:ind w:left="288" w:firstLineChars="0" w:firstLine="0"/>
              <w:textAlignment w:val="center"/>
              <w:rPr>
                <w:rFonts w:cs="Times New Roman"/>
                <w:szCs w:val="21"/>
              </w:rPr>
            </w:pPr>
            <w:r>
              <w:rPr>
                <w:rFonts w:cs="Times New Roman" w:hint="eastAsia"/>
                <w:szCs w:val="21"/>
              </w:rPr>
              <w:t>未</w:t>
            </w:r>
            <w:r w:rsidR="008B595E" w:rsidRPr="005F0D17">
              <w:rPr>
                <w:rFonts w:cs="Times New Roman" w:hint="eastAsia"/>
                <w:szCs w:val="21"/>
              </w:rPr>
              <w:t>采纳，对照品溶液制成混标溶液还是单标溶液都是符合要求的，实验人员可根据各自实验室条件自行选择，无需做进一步的规定。</w:t>
            </w:r>
          </w:p>
        </w:tc>
      </w:tr>
    </w:tbl>
    <w:p w14:paraId="7F39EF5C" w14:textId="182ED10B" w:rsidR="008B595E" w:rsidRPr="008B595E" w:rsidRDefault="008B595E" w:rsidP="008B595E">
      <w:pPr>
        <w:pStyle w:val="aa"/>
        <w:adjustRightInd w:val="0"/>
        <w:snapToGrid w:val="0"/>
        <w:ind w:firstLine="420"/>
        <w:jc w:val="both"/>
        <w:rPr>
          <w:rFonts w:ascii="Times New Roman" w:hAnsi="Times New Roman" w:cs="Times New Roman"/>
          <w:sz w:val="21"/>
          <w:szCs w:val="21"/>
        </w:rPr>
      </w:pPr>
    </w:p>
    <w:p w14:paraId="359EA504" w14:textId="77777777" w:rsidR="008E208A" w:rsidRPr="00E82EE0" w:rsidRDefault="008E208A" w:rsidP="008E208A">
      <w:pPr>
        <w:widowControl w:val="0"/>
        <w:adjustRightInd w:val="0"/>
        <w:snapToGrid w:val="0"/>
        <w:ind w:firstLineChars="0" w:firstLine="0"/>
        <w:jc w:val="center"/>
        <w:rPr>
          <w:rFonts w:cs="Times New Roman"/>
          <w:b/>
          <w:kern w:val="2"/>
          <w:sz w:val="24"/>
          <w:szCs w:val="24"/>
        </w:rPr>
      </w:pPr>
    </w:p>
    <w:sectPr w:rsidR="008E208A" w:rsidRPr="00E82EE0" w:rsidSect="00EA1A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BDBD3" w14:textId="77777777" w:rsidR="00AC31BB" w:rsidRDefault="00AC31BB" w:rsidP="004217F1">
      <w:pPr>
        <w:spacing w:line="240" w:lineRule="auto"/>
        <w:ind w:firstLine="420"/>
      </w:pPr>
      <w:r>
        <w:separator/>
      </w:r>
    </w:p>
  </w:endnote>
  <w:endnote w:type="continuationSeparator" w:id="0">
    <w:p w14:paraId="420EC203" w14:textId="77777777" w:rsidR="00AC31BB" w:rsidRDefault="00AC31BB" w:rsidP="004217F1">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ECEF7" w14:textId="77777777" w:rsidR="009C5A12" w:rsidRDefault="009C5A12">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8621097"/>
      <w:docPartObj>
        <w:docPartGallery w:val="Page Numbers (Bottom of Page)"/>
        <w:docPartUnique/>
      </w:docPartObj>
    </w:sdtPr>
    <w:sdtEndPr/>
    <w:sdtContent>
      <w:p w14:paraId="0B7A654F" w14:textId="1A4EF429" w:rsidR="00A6179F" w:rsidRDefault="00A6179F">
        <w:pPr>
          <w:pStyle w:val="a5"/>
          <w:ind w:firstLine="360"/>
          <w:jc w:val="center"/>
        </w:pPr>
        <w:r>
          <w:fldChar w:fldCharType="begin"/>
        </w:r>
        <w:r>
          <w:instrText>PAGE   \* MERGEFORMAT</w:instrText>
        </w:r>
        <w:r>
          <w:fldChar w:fldCharType="separate"/>
        </w:r>
        <w:r w:rsidR="00EA1AB1" w:rsidRPr="00EA1AB1">
          <w:rPr>
            <w:noProof/>
            <w:lang w:val="zh-CN"/>
          </w:rPr>
          <w:t>1</w:t>
        </w:r>
        <w:r>
          <w:fldChar w:fldCharType="end"/>
        </w:r>
      </w:p>
    </w:sdtContent>
  </w:sdt>
  <w:p w14:paraId="52C45B73" w14:textId="77777777" w:rsidR="009C5A12" w:rsidRDefault="009C5A12" w:rsidP="009C5A12">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9347" w14:textId="77777777" w:rsidR="009C5A12" w:rsidRDefault="009C5A12">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B8DDB" w14:textId="77777777" w:rsidR="00AC31BB" w:rsidRDefault="00AC31BB" w:rsidP="004217F1">
      <w:pPr>
        <w:spacing w:line="240" w:lineRule="auto"/>
        <w:ind w:firstLine="420"/>
      </w:pPr>
      <w:r>
        <w:separator/>
      </w:r>
    </w:p>
  </w:footnote>
  <w:footnote w:type="continuationSeparator" w:id="0">
    <w:p w14:paraId="6100056E" w14:textId="77777777" w:rsidR="00AC31BB" w:rsidRDefault="00AC31BB" w:rsidP="004217F1">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47F6" w14:textId="4356970B" w:rsidR="009C5A12" w:rsidRDefault="00AC31BB">
    <w:pPr>
      <w:pStyle w:val="a3"/>
      <w:ind w:firstLine="360"/>
    </w:pPr>
    <w:r>
      <w:rPr>
        <w:noProof/>
      </w:rPr>
      <w:pict w14:anchorId="2AFCE7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08958" o:spid="_x0000_s2050" type="#_x0000_t136" style="position:absolute;left:0;text-align:left;margin-left:0;margin-top:0;width:439.15pt;height:146.35pt;rotation:315;z-index:-251655168;mso-position-horizontal:center;mso-position-horizontal-relative:margin;mso-position-vertical:center;mso-position-vertical-relative:margin" o:allowincell="f" fillcolor="silver" stroked="f">
          <v:fill opacity=".5"/>
          <v:textpath style="font-family:&quot;宋体&quot;;font-size:1pt" string="公示稿"/>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26589" w14:textId="19514E1A" w:rsidR="009C5A12" w:rsidRDefault="00AC31BB" w:rsidP="00B922A4">
    <w:pPr>
      <w:pStyle w:val="a3"/>
      <w:ind w:firstLine="360"/>
    </w:pPr>
    <w:r>
      <w:rPr>
        <w:noProof/>
      </w:rPr>
      <w:pict w14:anchorId="4B911E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08959" o:spid="_x0000_s2051" type="#_x0000_t136" style="position:absolute;left:0;text-align:left;margin-left:0;margin-top:0;width:439.15pt;height:146.35pt;rotation:315;z-index:-251653120;mso-position-horizontal:center;mso-position-horizontal-relative:margin;mso-position-vertical:center;mso-position-vertical-relative:margin" o:allowincell="f" fillcolor="silver" stroked="f">
          <v:fill opacity=".5"/>
          <v:textpath style="font-family:&quot;宋体&quot;;font-size:1pt" string="公示稿"/>
          <w10:wrap anchorx="margin" anchory="margin"/>
        </v:shape>
      </w:pict>
    </w:r>
    <w:r w:rsidR="006E3BCF">
      <w:rPr>
        <w:rFonts w:hint="eastAsia"/>
      </w:rPr>
      <w:t>2</w:t>
    </w:r>
    <w:r w:rsidR="006E3BCF">
      <w:t>023</w:t>
    </w:r>
    <w:r w:rsidR="006E3BCF">
      <w:rPr>
        <w:rFonts w:hint="eastAsia"/>
      </w:rPr>
      <w:t>年</w:t>
    </w:r>
    <w:r w:rsidR="006E3BCF">
      <w:rPr>
        <w:rFonts w:hint="eastAsia"/>
      </w:rPr>
      <w:t>12</w:t>
    </w:r>
    <w:r w:rsidR="006E3BCF">
      <w:rPr>
        <w:rFonts w:hint="eastAsia"/>
      </w:rPr>
      <w:t>月</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1CE6" w14:textId="4BD6C994" w:rsidR="009C5A12" w:rsidRDefault="00AC31BB">
    <w:pPr>
      <w:pStyle w:val="a3"/>
      <w:ind w:firstLine="360"/>
    </w:pPr>
    <w:r>
      <w:rPr>
        <w:noProof/>
      </w:rPr>
      <w:pict w14:anchorId="350996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08957" o:spid="_x0000_s2049" type="#_x0000_t136" style="position:absolute;left:0;text-align:left;margin-left:0;margin-top:0;width:439.15pt;height:146.35pt;rotation:315;z-index:-251657216;mso-position-horizontal:center;mso-position-horizontal-relative:margin;mso-position-vertical:center;mso-position-vertical-relative:margin" o:allowincell="f" fillcolor="silver" stroked="f">
          <v:fill opacity=".5"/>
          <v:textpath style="font-family:&quot;宋体&quot;;font-size:1pt" string="公示稿"/>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563"/>
    <w:rsid w:val="0000137A"/>
    <w:rsid w:val="0003183D"/>
    <w:rsid w:val="00051886"/>
    <w:rsid w:val="000C281C"/>
    <w:rsid w:val="000C3AA0"/>
    <w:rsid w:val="00112DAE"/>
    <w:rsid w:val="00114A50"/>
    <w:rsid w:val="0012752A"/>
    <w:rsid w:val="00150DD2"/>
    <w:rsid w:val="001540F8"/>
    <w:rsid w:val="00177A31"/>
    <w:rsid w:val="001A77D6"/>
    <w:rsid w:val="001C2BDA"/>
    <w:rsid w:val="0021166A"/>
    <w:rsid w:val="00236438"/>
    <w:rsid w:val="00243FFC"/>
    <w:rsid w:val="00271C34"/>
    <w:rsid w:val="002870EB"/>
    <w:rsid w:val="002B3F80"/>
    <w:rsid w:val="002B5D9B"/>
    <w:rsid w:val="002C163D"/>
    <w:rsid w:val="002D2726"/>
    <w:rsid w:val="002E7408"/>
    <w:rsid w:val="003173F2"/>
    <w:rsid w:val="003308FB"/>
    <w:rsid w:val="00362617"/>
    <w:rsid w:val="00362D4D"/>
    <w:rsid w:val="0039192B"/>
    <w:rsid w:val="00396248"/>
    <w:rsid w:val="003C32D9"/>
    <w:rsid w:val="0041606F"/>
    <w:rsid w:val="004217F1"/>
    <w:rsid w:val="00437CFA"/>
    <w:rsid w:val="004478A3"/>
    <w:rsid w:val="00452F1A"/>
    <w:rsid w:val="00483AE9"/>
    <w:rsid w:val="004D6A7F"/>
    <w:rsid w:val="00550A82"/>
    <w:rsid w:val="00590250"/>
    <w:rsid w:val="005951E3"/>
    <w:rsid w:val="005C6948"/>
    <w:rsid w:val="005F0D17"/>
    <w:rsid w:val="006472F7"/>
    <w:rsid w:val="00651EDC"/>
    <w:rsid w:val="00684513"/>
    <w:rsid w:val="006E3BCF"/>
    <w:rsid w:val="007601F7"/>
    <w:rsid w:val="007D1DC8"/>
    <w:rsid w:val="007E1584"/>
    <w:rsid w:val="007E7D60"/>
    <w:rsid w:val="008401C0"/>
    <w:rsid w:val="00840BA5"/>
    <w:rsid w:val="00870C59"/>
    <w:rsid w:val="00885EB7"/>
    <w:rsid w:val="008B595E"/>
    <w:rsid w:val="008D016B"/>
    <w:rsid w:val="008E208A"/>
    <w:rsid w:val="0092685C"/>
    <w:rsid w:val="00954454"/>
    <w:rsid w:val="0097163F"/>
    <w:rsid w:val="00992477"/>
    <w:rsid w:val="009C048F"/>
    <w:rsid w:val="009C5A12"/>
    <w:rsid w:val="009F5F45"/>
    <w:rsid w:val="00A06156"/>
    <w:rsid w:val="00A25066"/>
    <w:rsid w:val="00A269D9"/>
    <w:rsid w:val="00A26A29"/>
    <w:rsid w:val="00A360DD"/>
    <w:rsid w:val="00A6179F"/>
    <w:rsid w:val="00A83CCF"/>
    <w:rsid w:val="00AC29B5"/>
    <w:rsid w:val="00AC31BB"/>
    <w:rsid w:val="00B20144"/>
    <w:rsid w:val="00B20842"/>
    <w:rsid w:val="00B44B9F"/>
    <w:rsid w:val="00B922A4"/>
    <w:rsid w:val="00BB51C1"/>
    <w:rsid w:val="00BE5D31"/>
    <w:rsid w:val="00BF103F"/>
    <w:rsid w:val="00BF1AA1"/>
    <w:rsid w:val="00BF3DC9"/>
    <w:rsid w:val="00C0311E"/>
    <w:rsid w:val="00C04E30"/>
    <w:rsid w:val="00C94AE2"/>
    <w:rsid w:val="00D127A0"/>
    <w:rsid w:val="00D64985"/>
    <w:rsid w:val="00E338F6"/>
    <w:rsid w:val="00E60817"/>
    <w:rsid w:val="00E82EE0"/>
    <w:rsid w:val="00E85BD6"/>
    <w:rsid w:val="00EA1AB1"/>
    <w:rsid w:val="00ED0EA8"/>
    <w:rsid w:val="00F03914"/>
    <w:rsid w:val="00F621BF"/>
    <w:rsid w:val="00F95ED0"/>
    <w:rsid w:val="00FB04F3"/>
    <w:rsid w:val="00FE053E"/>
    <w:rsid w:val="00FE2563"/>
    <w:rsid w:val="00FE5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AB79FB"/>
  <w15:docId w15:val="{8DB0D116-C9FC-412D-96C6-6E58BD138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7F1"/>
    <w:pPr>
      <w:spacing w:line="360" w:lineRule="auto"/>
      <w:ind w:firstLineChars="200" w:firstLine="200"/>
    </w:pPr>
    <w:rPr>
      <w:rFonts w:ascii="Times New Roman" w:eastAsia="宋体" w:hAnsi="Times New Roman"/>
      <w:kern w:val="0"/>
    </w:rPr>
  </w:style>
  <w:style w:type="paragraph" w:styleId="1">
    <w:name w:val="heading 1"/>
    <w:basedOn w:val="a"/>
    <w:next w:val="a"/>
    <w:link w:val="10"/>
    <w:uiPriority w:val="9"/>
    <w:qFormat/>
    <w:rsid w:val="00870C59"/>
    <w:pPr>
      <w:keepNext/>
      <w:keepLines/>
      <w:ind w:firstLineChars="0" w:firstLine="0"/>
      <w:outlineLvl w:val="0"/>
    </w:pPr>
    <w:rPr>
      <w:rFonts w:eastAsia="黑体"/>
      <w:bCs/>
      <w:kern w:val="44"/>
      <w:szCs w:val="44"/>
    </w:rPr>
  </w:style>
  <w:style w:type="paragraph" w:styleId="2">
    <w:name w:val="heading 2"/>
    <w:basedOn w:val="1"/>
    <w:next w:val="a"/>
    <w:link w:val="20"/>
    <w:uiPriority w:val="9"/>
    <w:unhideWhenUsed/>
    <w:qFormat/>
    <w:rsid w:val="00870C59"/>
    <w:pPr>
      <w:outlineLvl w:val="1"/>
    </w:pPr>
  </w:style>
  <w:style w:type="paragraph" w:styleId="3">
    <w:name w:val="heading 3"/>
    <w:basedOn w:val="2"/>
    <w:next w:val="a"/>
    <w:link w:val="30"/>
    <w:uiPriority w:val="9"/>
    <w:unhideWhenUsed/>
    <w:qFormat/>
    <w:rsid w:val="00870C59"/>
    <w:pP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70C59"/>
    <w:rPr>
      <w:rFonts w:ascii="Times New Roman" w:eastAsia="黑体" w:hAnsi="Times New Roman"/>
      <w:bCs/>
      <w:kern w:val="44"/>
      <w:szCs w:val="44"/>
    </w:rPr>
  </w:style>
  <w:style w:type="character" w:customStyle="1" w:styleId="20">
    <w:name w:val="标题 2 字符"/>
    <w:basedOn w:val="a0"/>
    <w:link w:val="2"/>
    <w:uiPriority w:val="9"/>
    <w:rsid w:val="00870C59"/>
    <w:rPr>
      <w:rFonts w:ascii="Times New Roman" w:eastAsia="黑体" w:hAnsi="Times New Roman"/>
      <w:bCs/>
      <w:kern w:val="44"/>
      <w:szCs w:val="44"/>
    </w:rPr>
  </w:style>
  <w:style w:type="character" w:customStyle="1" w:styleId="30">
    <w:name w:val="标题 3 字符"/>
    <w:basedOn w:val="a0"/>
    <w:link w:val="3"/>
    <w:uiPriority w:val="9"/>
    <w:rsid w:val="00870C59"/>
    <w:rPr>
      <w:rFonts w:ascii="Times New Roman" w:eastAsia="黑体" w:hAnsi="Times New Roman"/>
      <w:bCs/>
      <w:kern w:val="44"/>
      <w:szCs w:val="44"/>
    </w:rPr>
  </w:style>
  <w:style w:type="paragraph" w:styleId="a3">
    <w:name w:val="header"/>
    <w:basedOn w:val="a"/>
    <w:link w:val="a4"/>
    <w:uiPriority w:val="99"/>
    <w:unhideWhenUsed/>
    <w:rsid w:val="004217F1"/>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4217F1"/>
    <w:rPr>
      <w:rFonts w:ascii="Times New Roman" w:eastAsia="宋体" w:hAnsi="Times New Roman"/>
      <w:kern w:val="0"/>
      <w:sz w:val="18"/>
      <w:szCs w:val="18"/>
    </w:rPr>
  </w:style>
  <w:style w:type="paragraph" w:styleId="a5">
    <w:name w:val="footer"/>
    <w:basedOn w:val="a"/>
    <w:link w:val="a6"/>
    <w:uiPriority w:val="99"/>
    <w:unhideWhenUsed/>
    <w:rsid w:val="004217F1"/>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4217F1"/>
    <w:rPr>
      <w:rFonts w:ascii="Times New Roman" w:eastAsia="宋体" w:hAnsi="Times New Roman"/>
      <w:kern w:val="0"/>
      <w:sz w:val="18"/>
      <w:szCs w:val="18"/>
    </w:rPr>
  </w:style>
  <w:style w:type="table" w:styleId="a7">
    <w:name w:val="Table Grid"/>
    <w:basedOn w:val="a1"/>
    <w:uiPriority w:val="99"/>
    <w:qFormat/>
    <w:rsid w:val="004217F1"/>
    <w:pPr>
      <w:spacing w:line="360" w:lineRule="auto"/>
      <w:ind w:left="425" w:hanging="425"/>
      <w:jc w:val="both"/>
    </w:pPr>
    <w:rPr>
      <w:rFonts w:ascii="Times New Roman" w:eastAsia="宋体" w:hAnsi="Times New Roman"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网格型1"/>
    <w:basedOn w:val="a1"/>
    <w:next w:val="a7"/>
    <w:uiPriority w:val="99"/>
    <w:qFormat/>
    <w:rsid w:val="004217F1"/>
    <w:pPr>
      <w:spacing w:line="360" w:lineRule="auto"/>
      <w:ind w:left="425" w:hanging="425"/>
      <w:jc w:val="both"/>
    </w:pPr>
    <w:rPr>
      <w:rFonts w:ascii="Calibri" w:eastAsia="宋体" w:hAnsi="Calibri"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link w:val="a9"/>
    <w:uiPriority w:val="99"/>
    <w:semiHidden/>
    <w:unhideWhenUsed/>
    <w:rsid w:val="00ED0EA8"/>
    <w:pPr>
      <w:spacing w:line="240" w:lineRule="auto"/>
    </w:pPr>
    <w:rPr>
      <w:sz w:val="18"/>
      <w:szCs w:val="18"/>
    </w:rPr>
  </w:style>
  <w:style w:type="character" w:customStyle="1" w:styleId="a9">
    <w:name w:val="批注框文本 字符"/>
    <w:basedOn w:val="a0"/>
    <w:link w:val="a8"/>
    <w:uiPriority w:val="99"/>
    <w:semiHidden/>
    <w:rsid w:val="00ED0EA8"/>
    <w:rPr>
      <w:rFonts w:ascii="Times New Roman" w:eastAsia="宋体" w:hAnsi="Times New Roman"/>
      <w:kern w:val="0"/>
      <w:sz w:val="18"/>
      <w:szCs w:val="18"/>
    </w:rPr>
  </w:style>
  <w:style w:type="paragraph" w:styleId="aa">
    <w:name w:val="Plain Text"/>
    <w:basedOn w:val="a"/>
    <w:link w:val="ab"/>
    <w:qFormat/>
    <w:rsid w:val="00E82EE0"/>
    <w:rPr>
      <w:rFonts w:ascii="宋体" w:hAnsi="Courier New" w:cs="宋体"/>
      <w:sz w:val="20"/>
      <w:szCs w:val="20"/>
    </w:rPr>
  </w:style>
  <w:style w:type="character" w:customStyle="1" w:styleId="ab">
    <w:name w:val="纯文本 字符"/>
    <w:basedOn w:val="a0"/>
    <w:link w:val="aa"/>
    <w:qFormat/>
    <w:rsid w:val="00E82EE0"/>
    <w:rPr>
      <w:rFonts w:ascii="宋体" w:eastAsia="宋体" w:hAnsi="Courier New" w:cs="宋体"/>
      <w:kern w:val="0"/>
      <w:sz w:val="20"/>
      <w:szCs w:val="20"/>
    </w:rPr>
  </w:style>
  <w:style w:type="character" w:styleId="ac">
    <w:name w:val="line number"/>
    <w:basedOn w:val="a0"/>
    <w:uiPriority w:val="99"/>
    <w:semiHidden/>
    <w:unhideWhenUsed/>
    <w:rsid w:val="000C281C"/>
  </w:style>
  <w:style w:type="paragraph" w:styleId="ad">
    <w:name w:val="Normal (Web)"/>
    <w:basedOn w:val="a"/>
    <w:uiPriority w:val="99"/>
    <w:unhideWhenUsed/>
    <w:rsid w:val="008B595E"/>
    <w:pPr>
      <w:spacing w:before="100" w:beforeAutospacing="1" w:after="100" w:afterAutospacing="1" w:line="240" w:lineRule="auto"/>
      <w:ind w:firstLineChars="0" w:firstLine="0"/>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49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682</Words>
  <Characters>3894</Characters>
  <Application>Microsoft Office Word</Application>
  <DocSecurity>0</DocSecurity>
  <Lines>32</Lines>
  <Paragraphs>9</Paragraphs>
  <ScaleCrop>false</ScaleCrop>
  <Company>Microsoft</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annie annie</dc:creator>
  <cp:lastModifiedBy>张军</cp:lastModifiedBy>
  <cp:revision>17</cp:revision>
  <cp:lastPrinted>2023-06-12T07:30:00Z</cp:lastPrinted>
  <dcterms:created xsi:type="dcterms:W3CDTF">2023-11-27T08:50:00Z</dcterms:created>
  <dcterms:modified xsi:type="dcterms:W3CDTF">2023-11-30T01:58:00Z</dcterms:modified>
</cp:coreProperties>
</file>